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C4B9D" w14:textId="77777777" w:rsidR="00E05017" w:rsidRPr="004566DF" w:rsidRDefault="00E05017" w:rsidP="00CB63BC">
      <w:pPr>
        <w:spacing w:line="360" w:lineRule="auto"/>
        <w:ind w:hanging="240"/>
        <w:rPr>
          <w:rFonts w:ascii="Arial" w:eastAsia="Times New Roman" w:hAnsi="Arial" w:cs="Arial"/>
          <w:color w:val="000000"/>
          <w:sz w:val="28"/>
          <w:szCs w:val="28"/>
        </w:rPr>
      </w:pPr>
    </w:p>
    <w:p w14:paraId="6E24A7C9" w14:textId="26A4693B" w:rsidR="00E05017" w:rsidRPr="004566DF" w:rsidRDefault="000F137C" w:rsidP="00CB63BC">
      <w:pPr>
        <w:spacing w:line="360" w:lineRule="auto"/>
        <w:ind w:hanging="240"/>
        <w:rPr>
          <w:rStyle w:val="eop"/>
          <w:rFonts w:ascii="Arial" w:hAnsi="Arial" w:cs="Arial"/>
          <w:color w:val="000000"/>
          <w:sz w:val="28"/>
          <w:szCs w:val="28"/>
          <w:shd w:val="clear" w:color="auto" w:fill="FFFFFF"/>
        </w:rPr>
      </w:pPr>
      <w:r w:rsidRPr="004566DF">
        <w:rPr>
          <w:rStyle w:val="normaltextrun"/>
          <w:rFonts w:ascii="Arial" w:hAnsi="Arial" w:cs="Arial"/>
          <w:b/>
          <w:bCs/>
          <w:color w:val="000000"/>
          <w:sz w:val="28"/>
          <w:szCs w:val="28"/>
          <w:shd w:val="clear" w:color="auto" w:fill="FFFFFF"/>
        </w:rPr>
        <w:t>Disability, Higher Education, Teaching and Learning Bibliograph</w:t>
      </w:r>
      <w:r w:rsidR="00441057">
        <w:rPr>
          <w:rStyle w:val="normaltextrun"/>
          <w:rFonts w:ascii="Arial" w:hAnsi="Arial" w:cs="Arial"/>
          <w:b/>
          <w:bCs/>
          <w:color w:val="000000"/>
          <w:sz w:val="28"/>
          <w:szCs w:val="28"/>
          <w:shd w:val="clear" w:color="auto" w:fill="FFFFFF"/>
        </w:rPr>
        <w:t>y</w:t>
      </w:r>
      <w:r w:rsidRPr="004566DF">
        <w:rPr>
          <w:rStyle w:val="normaltextrun"/>
          <w:rFonts w:ascii="Arial" w:hAnsi="Arial" w:cs="Arial"/>
          <w:b/>
          <w:bCs/>
          <w:color w:val="000000"/>
          <w:sz w:val="28"/>
          <w:szCs w:val="28"/>
          <w:shd w:val="clear" w:color="auto" w:fill="FFFFFF"/>
        </w:rPr>
        <w:t xml:space="preserve"> May/ June 2023</w:t>
      </w:r>
      <w:r w:rsidRPr="004566DF">
        <w:rPr>
          <w:rStyle w:val="eop"/>
          <w:rFonts w:ascii="Arial" w:hAnsi="Arial" w:cs="Arial"/>
          <w:color w:val="000000"/>
          <w:sz w:val="28"/>
          <w:szCs w:val="28"/>
          <w:shd w:val="clear" w:color="auto" w:fill="FFFFFF"/>
        </w:rPr>
        <w:t> </w:t>
      </w:r>
    </w:p>
    <w:p w14:paraId="2CCAE349" w14:textId="1DC3886D" w:rsidR="001475A4" w:rsidRPr="00C07C1D" w:rsidRDefault="000A1C36" w:rsidP="004566DF">
      <w:pPr>
        <w:spacing w:line="360" w:lineRule="auto"/>
        <w:ind w:hanging="240"/>
        <w:rPr>
          <w:rStyle w:val="eop"/>
          <w:rFonts w:ascii="Arial" w:hAnsi="Arial" w:cs="Arial"/>
          <w:b/>
          <w:bCs/>
          <w:color w:val="000000"/>
          <w:sz w:val="28"/>
          <w:szCs w:val="28"/>
          <w:shd w:val="clear" w:color="auto" w:fill="FFFFFF"/>
        </w:rPr>
      </w:pPr>
      <w:r w:rsidRPr="00C07C1D">
        <w:rPr>
          <w:rStyle w:val="eop"/>
          <w:rFonts w:ascii="Arial" w:hAnsi="Arial" w:cs="Arial"/>
          <w:b/>
          <w:bCs/>
          <w:color w:val="000000"/>
          <w:sz w:val="28"/>
          <w:szCs w:val="28"/>
          <w:shd w:val="clear" w:color="auto" w:fill="FFFFFF"/>
        </w:rPr>
        <w:t>Stigma</w:t>
      </w:r>
    </w:p>
    <w:p w14:paraId="46CC6A41" w14:textId="77777777" w:rsidR="000A1C36" w:rsidRPr="00CB63BC" w:rsidRDefault="000A1C36" w:rsidP="00CB63BC">
      <w:pPr>
        <w:spacing w:after="0" w:line="360" w:lineRule="auto"/>
        <w:ind w:hanging="240"/>
        <w:rPr>
          <w:rFonts w:ascii="Arial" w:eastAsia="Times New Roman" w:hAnsi="Arial" w:cs="Arial"/>
          <w:sz w:val="24"/>
          <w:szCs w:val="24"/>
          <w:lang w:eastAsia="en-GB"/>
        </w:rPr>
      </w:pPr>
      <w:proofErr w:type="spellStart"/>
      <w:r w:rsidRPr="00CB63BC">
        <w:rPr>
          <w:rFonts w:ascii="Arial" w:eastAsia="Times New Roman" w:hAnsi="Arial" w:cs="Arial"/>
          <w:sz w:val="24"/>
          <w:szCs w:val="24"/>
          <w:lang w:eastAsia="en-GB"/>
        </w:rPr>
        <w:t>Jarus</w:t>
      </w:r>
      <w:proofErr w:type="spellEnd"/>
      <w:r w:rsidRPr="00CB63BC">
        <w:rPr>
          <w:rFonts w:ascii="Arial" w:eastAsia="Times New Roman" w:hAnsi="Arial" w:cs="Arial"/>
          <w:sz w:val="24"/>
          <w:szCs w:val="24"/>
          <w:lang w:eastAsia="en-GB"/>
        </w:rPr>
        <w:t xml:space="preserve">, T., Krupa, T., Mayer, Y., </w:t>
      </w:r>
      <w:proofErr w:type="spellStart"/>
      <w:r w:rsidRPr="00CB63BC">
        <w:rPr>
          <w:rFonts w:ascii="Arial" w:eastAsia="Times New Roman" w:hAnsi="Arial" w:cs="Arial"/>
          <w:sz w:val="24"/>
          <w:szCs w:val="24"/>
          <w:lang w:eastAsia="en-GB"/>
        </w:rPr>
        <w:t>Battalova</w:t>
      </w:r>
      <w:proofErr w:type="spellEnd"/>
      <w:r w:rsidRPr="00CB63BC">
        <w:rPr>
          <w:rFonts w:ascii="Arial" w:eastAsia="Times New Roman" w:hAnsi="Arial" w:cs="Arial"/>
          <w:sz w:val="24"/>
          <w:szCs w:val="24"/>
          <w:lang w:eastAsia="en-GB"/>
        </w:rPr>
        <w:t xml:space="preserve">, A., Bulk, L., Lee, M., </w:t>
      </w:r>
      <w:proofErr w:type="spellStart"/>
      <w:r w:rsidRPr="00CB63BC">
        <w:rPr>
          <w:rFonts w:ascii="Arial" w:eastAsia="Times New Roman" w:hAnsi="Arial" w:cs="Arial"/>
          <w:sz w:val="24"/>
          <w:szCs w:val="24"/>
          <w:lang w:eastAsia="en-GB"/>
        </w:rPr>
        <w:t>Nimmon</w:t>
      </w:r>
      <w:proofErr w:type="spellEnd"/>
      <w:r w:rsidRPr="00CB63BC">
        <w:rPr>
          <w:rFonts w:ascii="Arial" w:eastAsia="Times New Roman" w:hAnsi="Arial" w:cs="Arial"/>
          <w:sz w:val="24"/>
          <w:szCs w:val="24"/>
          <w:lang w:eastAsia="en-GB"/>
        </w:rPr>
        <w:t xml:space="preserve">, L., &amp; Roberts, E. (2023). Negotiating legitimacy and belonging: Disabled students’ and practitioners’ experience. </w:t>
      </w:r>
      <w:r w:rsidRPr="00CB63BC">
        <w:rPr>
          <w:rFonts w:ascii="Arial" w:eastAsia="Times New Roman" w:hAnsi="Arial" w:cs="Arial"/>
          <w:i/>
          <w:iCs/>
          <w:sz w:val="24"/>
          <w:szCs w:val="24"/>
          <w:lang w:eastAsia="en-GB"/>
        </w:rPr>
        <w:t>Medical Education</w:t>
      </w:r>
      <w:r w:rsidRPr="00CB63BC">
        <w:rPr>
          <w:rFonts w:ascii="Arial" w:eastAsia="Times New Roman" w:hAnsi="Arial" w:cs="Arial"/>
          <w:sz w:val="24"/>
          <w:szCs w:val="24"/>
          <w:lang w:eastAsia="en-GB"/>
        </w:rPr>
        <w:t xml:space="preserve">, </w:t>
      </w:r>
      <w:r w:rsidRPr="00CB63BC">
        <w:rPr>
          <w:rFonts w:ascii="Arial" w:eastAsia="Times New Roman" w:hAnsi="Arial" w:cs="Arial"/>
          <w:i/>
          <w:iCs/>
          <w:sz w:val="24"/>
          <w:szCs w:val="24"/>
          <w:lang w:eastAsia="en-GB"/>
        </w:rPr>
        <w:t>57</w:t>
      </w:r>
      <w:r w:rsidRPr="00CB63BC">
        <w:rPr>
          <w:rFonts w:ascii="Arial" w:eastAsia="Times New Roman" w:hAnsi="Arial" w:cs="Arial"/>
          <w:sz w:val="24"/>
          <w:szCs w:val="24"/>
          <w:lang w:eastAsia="en-GB"/>
        </w:rPr>
        <w:t>(6), 535–547. https://doi.org/10.1111/medu.15002</w:t>
      </w:r>
    </w:p>
    <w:p w14:paraId="17F23636" w14:textId="04673A92" w:rsidR="000A1C36" w:rsidRPr="00CB63BC" w:rsidRDefault="004566DF" w:rsidP="00CB63BC">
      <w:pPr>
        <w:pStyle w:val="PlainText"/>
        <w:spacing w:line="360" w:lineRule="auto"/>
        <w:rPr>
          <w:rFonts w:ascii="Arial" w:hAnsi="Arial" w:cs="Arial"/>
          <w:sz w:val="24"/>
          <w:szCs w:val="24"/>
        </w:rPr>
      </w:pPr>
      <w:r>
        <w:rPr>
          <w:rFonts w:ascii="Arial" w:hAnsi="Arial" w:cs="Arial"/>
          <w:sz w:val="24"/>
          <w:szCs w:val="24"/>
        </w:rPr>
        <w:t xml:space="preserve">Abstract: </w:t>
      </w:r>
      <w:r w:rsidR="000A1C36" w:rsidRPr="00CB63BC">
        <w:rPr>
          <w:rFonts w:ascii="Arial" w:hAnsi="Arial" w:cs="Arial"/>
          <w:sz w:val="24"/>
          <w:szCs w:val="24"/>
        </w:rPr>
        <w:t xml:space="preserve">People with disabilities are underrepresented in health professions education and practice. Barriers for inclusion include stigma, disabling discourses, discriminatory programme design and oppressive interactions. Current understandings of this topic remain descriptive and fragmented. Existing research often includes only one profession, excludes </w:t>
      </w:r>
      <w:proofErr w:type="gramStart"/>
      <w:r w:rsidR="000A1C36" w:rsidRPr="00CB63BC">
        <w:rPr>
          <w:rFonts w:ascii="Arial" w:hAnsi="Arial" w:cs="Arial"/>
          <w:sz w:val="24"/>
          <w:szCs w:val="24"/>
        </w:rPr>
        <w:t>particular types</w:t>
      </w:r>
      <w:proofErr w:type="gramEnd"/>
      <w:r w:rsidR="000A1C36" w:rsidRPr="00CB63BC">
        <w:rPr>
          <w:rFonts w:ascii="Arial" w:hAnsi="Arial" w:cs="Arial"/>
          <w:sz w:val="24"/>
          <w:szCs w:val="24"/>
        </w:rPr>
        <w:t xml:space="preserve"> of disability and focuses on one aspect of the career journey. To expand understanding, we examined the recurrent forms of social relations that underlie the participation of disabled individuals in learning and practice contexts across five health professions.</w:t>
      </w:r>
    </w:p>
    <w:p w14:paraId="74FABF26" w14:textId="77777777" w:rsidR="000A1C36" w:rsidRPr="00CB63BC" w:rsidRDefault="000A1C36" w:rsidP="00CB63BC">
      <w:pPr>
        <w:pStyle w:val="PlainText"/>
        <w:spacing w:line="360" w:lineRule="auto"/>
        <w:rPr>
          <w:rFonts w:ascii="Arial" w:hAnsi="Arial" w:cs="Arial"/>
          <w:sz w:val="24"/>
          <w:szCs w:val="24"/>
        </w:rPr>
      </w:pPr>
      <w:r w:rsidRPr="00CB63BC">
        <w:rPr>
          <w:rFonts w:ascii="Arial" w:hAnsi="Arial" w:cs="Arial"/>
          <w:sz w:val="24"/>
          <w:szCs w:val="24"/>
        </w:rPr>
        <w:t>Method</w:t>
      </w:r>
    </w:p>
    <w:p w14:paraId="2FB0E4DA" w14:textId="71556F0C" w:rsidR="000A1C36" w:rsidRPr="00CB63BC" w:rsidRDefault="000A1C36" w:rsidP="00CB63BC">
      <w:pPr>
        <w:pStyle w:val="PlainText"/>
        <w:spacing w:line="360" w:lineRule="auto"/>
        <w:rPr>
          <w:rFonts w:ascii="Arial" w:hAnsi="Arial" w:cs="Arial"/>
          <w:sz w:val="24"/>
          <w:szCs w:val="24"/>
        </w:rPr>
      </w:pPr>
      <w:r w:rsidRPr="00CB63BC">
        <w:rPr>
          <w:rFonts w:ascii="Arial" w:hAnsi="Arial" w:cs="Arial"/>
          <w:sz w:val="24"/>
          <w:szCs w:val="24"/>
        </w:rPr>
        <w:t>We analysed 124 interviews with 56 disabled health practitioners and students. Participants were interviewed up to three times over 1.5 years. Using constructivist grounded theory, authors used a staged analytic approach that resulted in higher level conceptual categories that advance interpretations of social processes. Finally, the authors compared and integrated findings among students and practitioners.</w:t>
      </w:r>
    </w:p>
    <w:p w14:paraId="30484FAB" w14:textId="77777777" w:rsidR="000A1C36" w:rsidRPr="00CB63BC" w:rsidRDefault="000A1C36" w:rsidP="00CB63BC">
      <w:pPr>
        <w:pStyle w:val="PlainText"/>
        <w:spacing w:line="360" w:lineRule="auto"/>
        <w:rPr>
          <w:rFonts w:ascii="Arial" w:hAnsi="Arial" w:cs="Arial"/>
          <w:sz w:val="24"/>
          <w:szCs w:val="24"/>
        </w:rPr>
      </w:pPr>
      <w:r w:rsidRPr="00CB63BC">
        <w:rPr>
          <w:rFonts w:ascii="Arial" w:hAnsi="Arial" w:cs="Arial"/>
          <w:sz w:val="24"/>
          <w:szCs w:val="24"/>
        </w:rPr>
        <w:t>Results</w:t>
      </w:r>
    </w:p>
    <w:p w14:paraId="6125301B" w14:textId="77777777" w:rsidR="000A1C36" w:rsidRPr="00CB63BC" w:rsidRDefault="000A1C36" w:rsidP="00CB63BC">
      <w:pPr>
        <w:pStyle w:val="PlainText"/>
        <w:spacing w:line="360" w:lineRule="auto"/>
        <w:rPr>
          <w:rFonts w:ascii="Arial" w:hAnsi="Arial" w:cs="Arial"/>
          <w:sz w:val="24"/>
          <w:szCs w:val="24"/>
        </w:rPr>
      </w:pPr>
      <w:r w:rsidRPr="00CB63BC">
        <w:rPr>
          <w:rFonts w:ascii="Arial" w:hAnsi="Arial" w:cs="Arial"/>
          <w:sz w:val="24"/>
          <w:szCs w:val="24"/>
        </w:rPr>
        <w:t>Participants experience challenges to their sense of legitimacy and belonging as health providers. They describe tensions within the health education and practice between the commitment to inclusion and the day-to-day realities experienced by disabled participants. We identified six distinct, but related, conditions underlying these tensions: (</w:t>
      </w:r>
      <w:proofErr w:type="spellStart"/>
      <w:r w:rsidRPr="00CB63BC">
        <w:rPr>
          <w:rFonts w:ascii="Arial" w:hAnsi="Arial" w:cs="Arial"/>
          <w:sz w:val="24"/>
          <w:szCs w:val="24"/>
        </w:rPr>
        <w:t>i</w:t>
      </w:r>
      <w:proofErr w:type="spellEnd"/>
      <w:r w:rsidRPr="00CB63BC">
        <w:rPr>
          <w:rFonts w:ascii="Arial" w:hAnsi="Arial" w:cs="Arial"/>
          <w:sz w:val="24"/>
          <w:szCs w:val="24"/>
        </w:rPr>
        <w:t>) validity and transparency of competencies' evaluation; (ii) the social and physical contexts; (iii) integration of inclusive practices; (iv) boundaries between personal and professional identities; (v) vulnerability to authority figures; and (vi) dynamic person-level factors.</w:t>
      </w:r>
    </w:p>
    <w:p w14:paraId="6AB3659B" w14:textId="77777777" w:rsidR="000A1C36" w:rsidRPr="00CB63BC" w:rsidRDefault="000A1C36" w:rsidP="00CB63BC">
      <w:pPr>
        <w:pStyle w:val="PlainText"/>
        <w:spacing w:line="360" w:lineRule="auto"/>
        <w:rPr>
          <w:rFonts w:ascii="Arial" w:hAnsi="Arial" w:cs="Arial"/>
          <w:sz w:val="24"/>
          <w:szCs w:val="24"/>
        </w:rPr>
      </w:pPr>
    </w:p>
    <w:p w14:paraId="7F4DD76D" w14:textId="77777777" w:rsidR="000A1C36" w:rsidRPr="00CB63BC" w:rsidRDefault="000A1C36" w:rsidP="00CB63BC">
      <w:pPr>
        <w:pStyle w:val="PlainText"/>
        <w:spacing w:line="360" w:lineRule="auto"/>
        <w:rPr>
          <w:rFonts w:ascii="Arial" w:hAnsi="Arial" w:cs="Arial"/>
          <w:sz w:val="24"/>
          <w:szCs w:val="24"/>
        </w:rPr>
      </w:pPr>
      <w:r w:rsidRPr="00CB63BC">
        <w:rPr>
          <w:rFonts w:ascii="Arial" w:hAnsi="Arial" w:cs="Arial"/>
          <w:sz w:val="24"/>
          <w:szCs w:val="24"/>
        </w:rPr>
        <w:lastRenderedPageBreak/>
        <w:t>Discussion</w:t>
      </w:r>
    </w:p>
    <w:p w14:paraId="684E74EB" w14:textId="77777777" w:rsidR="000A1C36" w:rsidRPr="00CB63BC" w:rsidRDefault="000A1C36" w:rsidP="00CB63BC">
      <w:pPr>
        <w:pStyle w:val="PlainText"/>
        <w:spacing w:line="360" w:lineRule="auto"/>
        <w:rPr>
          <w:rFonts w:ascii="Arial" w:hAnsi="Arial" w:cs="Arial"/>
          <w:sz w:val="24"/>
          <w:szCs w:val="24"/>
        </w:rPr>
      </w:pPr>
      <w:r w:rsidRPr="00CB63BC">
        <w:rPr>
          <w:rFonts w:ascii="Arial" w:hAnsi="Arial" w:cs="Arial"/>
          <w:sz w:val="24"/>
          <w:szCs w:val="24"/>
        </w:rPr>
        <w:t xml:space="preserve">If we are to commit to health practitioners and students with disabilities experiencing an overall sense of legitimacy and belonging, priority needs to be given to system-level practices and policies to support inclusion. Attention to the day-to-day marginalisation of students and practitioners with disabilities in the health professions is also needed. Additionally, </w:t>
      </w:r>
      <w:proofErr w:type="gramStart"/>
      <w:r w:rsidRPr="00CB63BC">
        <w:rPr>
          <w:rFonts w:ascii="Arial" w:hAnsi="Arial" w:cs="Arial"/>
          <w:sz w:val="24"/>
          <w:szCs w:val="24"/>
        </w:rPr>
        <w:t>inclusive</w:t>
      </w:r>
      <w:proofErr w:type="gramEnd"/>
      <w:r w:rsidRPr="00CB63BC">
        <w:rPr>
          <w:rFonts w:ascii="Arial" w:hAnsi="Arial" w:cs="Arial"/>
          <w:sz w:val="24"/>
          <w:szCs w:val="24"/>
        </w:rPr>
        <w:t xml:space="preserve"> and transparent delineation of competency requirements is needed. Finally, educational actions are needed to increase understanding of disability in the health professions, with particular attention to promoting social relations that foster collective responsibility for supporting </w:t>
      </w:r>
      <w:proofErr w:type="gramStart"/>
      <w:r w:rsidRPr="00CB63BC">
        <w:rPr>
          <w:rFonts w:ascii="Arial" w:hAnsi="Arial" w:cs="Arial"/>
          <w:sz w:val="24"/>
          <w:szCs w:val="24"/>
        </w:rPr>
        <w:t>inclusion</w:t>
      </w:r>
      <w:proofErr w:type="gramEnd"/>
    </w:p>
    <w:p w14:paraId="3A03F50F" w14:textId="77777777" w:rsidR="000A1C36" w:rsidRPr="00CB63BC" w:rsidRDefault="000A1C36" w:rsidP="00CB63BC">
      <w:pPr>
        <w:spacing w:line="360" w:lineRule="auto"/>
        <w:ind w:hanging="240"/>
        <w:rPr>
          <w:rStyle w:val="eop"/>
          <w:rFonts w:ascii="Arial" w:hAnsi="Arial" w:cs="Arial"/>
          <w:color w:val="000000"/>
          <w:sz w:val="24"/>
          <w:szCs w:val="24"/>
          <w:shd w:val="clear" w:color="auto" w:fill="FFFFFF"/>
        </w:rPr>
      </w:pPr>
    </w:p>
    <w:p w14:paraId="3F942928" w14:textId="77777777" w:rsidR="000F137C" w:rsidRPr="004566DF" w:rsidRDefault="000F137C" w:rsidP="00CB63BC">
      <w:pPr>
        <w:spacing w:line="360" w:lineRule="auto"/>
        <w:ind w:hanging="240"/>
        <w:rPr>
          <w:rFonts w:ascii="Arial" w:eastAsia="Times New Roman" w:hAnsi="Arial" w:cs="Arial"/>
          <w:b/>
          <w:bCs/>
          <w:color w:val="000000"/>
          <w:sz w:val="28"/>
          <w:szCs w:val="28"/>
        </w:rPr>
      </w:pPr>
      <w:r w:rsidRPr="004566DF">
        <w:rPr>
          <w:rFonts w:ascii="Arial" w:eastAsia="Times New Roman" w:hAnsi="Arial" w:cs="Arial"/>
          <w:b/>
          <w:bCs/>
          <w:color w:val="000000"/>
          <w:sz w:val="28"/>
          <w:szCs w:val="28"/>
        </w:rPr>
        <w:t>Learning and teaching</w:t>
      </w:r>
    </w:p>
    <w:p w14:paraId="6BB13AAB" w14:textId="3B7080A6" w:rsidR="00DF73F0" w:rsidRPr="00CB63BC" w:rsidRDefault="000F137C" w:rsidP="00CB63BC">
      <w:pPr>
        <w:spacing w:line="360" w:lineRule="auto"/>
        <w:ind w:hanging="240"/>
        <w:rPr>
          <w:rStyle w:val="contentpasted1"/>
          <w:rFonts w:ascii="Arial" w:eastAsia="Times New Roman" w:hAnsi="Arial" w:cs="Arial"/>
          <w:color w:val="595959"/>
          <w:sz w:val="24"/>
          <w:szCs w:val="24"/>
        </w:rPr>
      </w:pPr>
      <w:r w:rsidRPr="00CB63BC">
        <w:rPr>
          <w:rStyle w:val="csl-entry"/>
          <w:rFonts w:ascii="Arial" w:hAnsi="Arial" w:cs="Arial"/>
          <w:color w:val="000000"/>
          <w:sz w:val="24"/>
          <w:szCs w:val="24"/>
        </w:rPr>
        <w:t xml:space="preserve">Lund, E. M. (2023). Addressing the Leaking Pipeline: Supporting Disabled Graduate Student Teachers in Psychology. </w:t>
      </w:r>
      <w:r w:rsidRPr="00CB63BC">
        <w:rPr>
          <w:rStyle w:val="csl-entry"/>
          <w:rFonts w:ascii="Arial" w:hAnsi="Arial" w:cs="Arial"/>
          <w:i/>
          <w:iCs/>
          <w:color w:val="000000"/>
          <w:sz w:val="24"/>
          <w:szCs w:val="24"/>
        </w:rPr>
        <w:t>Teaching of Psychology</w:t>
      </w:r>
      <w:r w:rsidRPr="00CB63BC">
        <w:rPr>
          <w:rStyle w:val="csl-entry"/>
          <w:rFonts w:ascii="Arial" w:hAnsi="Arial" w:cs="Arial"/>
          <w:color w:val="000000"/>
          <w:sz w:val="24"/>
          <w:szCs w:val="24"/>
        </w:rPr>
        <w:t xml:space="preserve">, </w:t>
      </w:r>
      <w:r w:rsidRPr="00CB63BC">
        <w:rPr>
          <w:rStyle w:val="csl-entry"/>
          <w:rFonts w:ascii="Arial" w:hAnsi="Arial" w:cs="Arial"/>
          <w:i/>
          <w:iCs/>
          <w:color w:val="000000"/>
          <w:sz w:val="24"/>
          <w:szCs w:val="24"/>
        </w:rPr>
        <w:t>50</w:t>
      </w:r>
      <w:r w:rsidRPr="00CB63BC">
        <w:rPr>
          <w:rStyle w:val="csl-entry"/>
          <w:rFonts w:ascii="Arial" w:hAnsi="Arial" w:cs="Arial"/>
          <w:color w:val="000000"/>
          <w:sz w:val="24"/>
          <w:szCs w:val="24"/>
        </w:rPr>
        <w:t xml:space="preserve">(2), 99–104. </w:t>
      </w:r>
      <w:hyperlink r:id="rId5" w:history="1">
        <w:r w:rsidRPr="00CB63BC">
          <w:rPr>
            <w:rStyle w:val="Hyperlink"/>
            <w:rFonts w:ascii="Arial" w:eastAsia="Times New Roman" w:hAnsi="Arial" w:cs="Arial"/>
            <w:sz w:val="24"/>
            <w:szCs w:val="24"/>
          </w:rPr>
          <w:t>https://doi.org/10.1177/00986283211036420</w:t>
        </w:r>
      </w:hyperlink>
      <w:r w:rsidR="00DF73F0" w:rsidRPr="00CB63BC">
        <w:rPr>
          <w:rFonts w:ascii="Arial" w:eastAsia="Times New Roman" w:hAnsi="Arial" w:cs="Arial"/>
          <w:color w:val="000000"/>
          <w:sz w:val="24"/>
          <w:szCs w:val="24"/>
        </w:rPr>
        <w:br/>
      </w:r>
      <w:r w:rsidRPr="00CB63BC">
        <w:rPr>
          <w:rStyle w:val="contentpasted1"/>
          <w:rFonts w:ascii="Arial" w:eastAsia="Times New Roman" w:hAnsi="Arial" w:cs="Arial"/>
          <w:color w:val="595959"/>
          <w:sz w:val="24"/>
          <w:szCs w:val="24"/>
        </w:rPr>
        <w:t xml:space="preserve">Abstract: </w:t>
      </w:r>
      <w:r w:rsidR="00DF73F0" w:rsidRPr="00CB63BC">
        <w:rPr>
          <w:rStyle w:val="contentpasted1"/>
          <w:rFonts w:ascii="Arial" w:eastAsia="Times New Roman" w:hAnsi="Arial" w:cs="Arial"/>
          <w:color w:val="595959"/>
          <w:sz w:val="24"/>
          <w:szCs w:val="24"/>
        </w:rPr>
        <w:t xml:space="preserve">Introduction: People with disabilities are under-represented among psychology faculty and graduate students and are more likely than their non-disabled peers to attrite from psychology graduate programs. They face numerous barriers in graduate training. Statement of the Problem: Teaching experience is a core experience for psychology graduate students, especially those pursuing faculty positions. Disabled graduate students face many barriers that may make it difficult for them to obtain high-quality graduate student teaching experience. This contributes to the continuing under-representation of disabled faculty in psychology programs. Literature Review: I review key empirical and conceptual articles on the experiences of disabled psychology trainees and how to best support them. Teaching Implications: I provide evidence-based suggestions and strategies for supporting graduate students with disabilities as they obtain teaching experience. Conclusion: By actively supporting graduate students with disabilities in their teaching </w:t>
      </w:r>
      <w:proofErr w:type="spellStart"/>
      <w:r w:rsidR="00DF73F0" w:rsidRPr="00CB63BC">
        <w:rPr>
          <w:rStyle w:val="contentpasted1"/>
          <w:rFonts w:ascii="Arial" w:eastAsia="Times New Roman" w:hAnsi="Arial" w:cs="Arial"/>
          <w:color w:val="595959"/>
          <w:sz w:val="24"/>
          <w:szCs w:val="24"/>
        </w:rPr>
        <w:t>endeavors</w:t>
      </w:r>
      <w:proofErr w:type="spellEnd"/>
      <w:r w:rsidR="00DF73F0" w:rsidRPr="00CB63BC">
        <w:rPr>
          <w:rStyle w:val="contentpasted1"/>
          <w:rFonts w:ascii="Arial" w:eastAsia="Times New Roman" w:hAnsi="Arial" w:cs="Arial"/>
          <w:color w:val="595959"/>
          <w:sz w:val="24"/>
          <w:szCs w:val="24"/>
        </w:rPr>
        <w:t>, psychology faculty can help stem the leaky pipeline and increase the numbers of psychology faculty with disabilities.</w:t>
      </w:r>
    </w:p>
    <w:p w14:paraId="0C1E62BB" w14:textId="77777777" w:rsidR="004566DF" w:rsidRDefault="004566DF" w:rsidP="00CB63BC">
      <w:pPr>
        <w:spacing w:line="360" w:lineRule="auto"/>
        <w:ind w:hanging="240"/>
        <w:rPr>
          <w:rStyle w:val="eop"/>
          <w:rFonts w:ascii="Arial" w:hAnsi="Arial" w:cs="Arial"/>
          <w:color w:val="000000"/>
          <w:sz w:val="24"/>
          <w:szCs w:val="24"/>
          <w:shd w:val="clear" w:color="auto" w:fill="FFFFFF"/>
        </w:rPr>
      </w:pPr>
    </w:p>
    <w:p w14:paraId="17501543" w14:textId="77777777" w:rsidR="004566DF" w:rsidRDefault="004566DF" w:rsidP="00CB63BC">
      <w:pPr>
        <w:spacing w:line="360" w:lineRule="auto"/>
        <w:ind w:hanging="240"/>
        <w:rPr>
          <w:rStyle w:val="eop"/>
          <w:rFonts w:ascii="Arial" w:hAnsi="Arial" w:cs="Arial"/>
          <w:color w:val="000000"/>
          <w:sz w:val="24"/>
          <w:szCs w:val="24"/>
          <w:shd w:val="clear" w:color="auto" w:fill="FFFFFF"/>
        </w:rPr>
      </w:pPr>
    </w:p>
    <w:p w14:paraId="6BD18425" w14:textId="04BE65B2" w:rsidR="000F137C" w:rsidRPr="004566DF" w:rsidRDefault="000F137C" w:rsidP="00CB63BC">
      <w:pPr>
        <w:spacing w:line="360" w:lineRule="auto"/>
        <w:ind w:hanging="240"/>
        <w:rPr>
          <w:rStyle w:val="eop"/>
          <w:rFonts w:ascii="Arial" w:hAnsi="Arial" w:cs="Arial"/>
          <w:b/>
          <w:bCs/>
          <w:color w:val="000000"/>
          <w:sz w:val="28"/>
          <w:szCs w:val="28"/>
          <w:shd w:val="clear" w:color="auto" w:fill="FFFFFF"/>
        </w:rPr>
      </w:pPr>
      <w:r w:rsidRPr="004566DF">
        <w:rPr>
          <w:rStyle w:val="eop"/>
          <w:rFonts w:ascii="Arial" w:hAnsi="Arial" w:cs="Arial"/>
          <w:b/>
          <w:bCs/>
          <w:color w:val="000000"/>
          <w:sz w:val="28"/>
          <w:szCs w:val="28"/>
          <w:shd w:val="clear" w:color="auto" w:fill="FFFFFF"/>
        </w:rPr>
        <w:lastRenderedPageBreak/>
        <w:t>ADHD</w:t>
      </w:r>
    </w:p>
    <w:p w14:paraId="5FC777ED" w14:textId="77777777" w:rsidR="000F137C" w:rsidRPr="00CB63BC" w:rsidRDefault="000F137C" w:rsidP="00CB63BC">
      <w:pPr>
        <w:spacing w:line="360" w:lineRule="auto"/>
        <w:ind w:hanging="240"/>
        <w:rPr>
          <w:rFonts w:ascii="Arial" w:eastAsia="Calibri" w:hAnsi="Arial" w:cs="Arial"/>
          <w:sz w:val="24"/>
          <w:szCs w:val="24"/>
        </w:rPr>
      </w:pPr>
      <w:r w:rsidRPr="00CB63BC">
        <w:rPr>
          <w:rFonts w:ascii="Arial" w:eastAsia="Calibri" w:hAnsi="Arial" w:cs="Arial"/>
          <w:sz w:val="24"/>
          <w:szCs w:val="24"/>
        </w:rPr>
        <w:t xml:space="preserve">ADHD in higher education: is digital learning making it worse? (2023, June 28). THE Campus Learn </w:t>
      </w:r>
      <w:proofErr w:type="spellStart"/>
      <w:proofErr w:type="gramStart"/>
      <w:r w:rsidRPr="00CB63BC">
        <w:rPr>
          <w:rFonts w:ascii="Arial" w:eastAsia="Calibri" w:hAnsi="Arial" w:cs="Arial"/>
          <w:sz w:val="24"/>
          <w:szCs w:val="24"/>
        </w:rPr>
        <w:t>Share,Connect</w:t>
      </w:r>
      <w:proofErr w:type="spellEnd"/>
      <w:proofErr w:type="gramEnd"/>
      <w:r w:rsidRPr="00CB63BC">
        <w:rPr>
          <w:rFonts w:ascii="Arial" w:eastAsia="Calibri" w:hAnsi="Arial" w:cs="Arial"/>
          <w:sz w:val="24"/>
          <w:szCs w:val="24"/>
        </w:rPr>
        <w:t xml:space="preserve">. </w:t>
      </w:r>
      <w:hyperlink r:id="rId6" w:history="1">
        <w:r w:rsidRPr="00CB63BC">
          <w:rPr>
            <w:rFonts w:ascii="Arial" w:eastAsia="Calibri" w:hAnsi="Arial" w:cs="Arial"/>
            <w:color w:val="0563C1"/>
            <w:sz w:val="24"/>
            <w:szCs w:val="24"/>
            <w:u w:val="single"/>
          </w:rPr>
          <w:t>https://www.timeshighereducation.com/campus/adhd-higher-education-digital-learning-making-it-worse</w:t>
        </w:r>
      </w:hyperlink>
      <w:r w:rsidRPr="00CB63BC">
        <w:rPr>
          <w:rFonts w:ascii="Arial" w:eastAsia="Calibri" w:hAnsi="Arial" w:cs="Arial"/>
          <w:color w:val="000000"/>
          <w:sz w:val="24"/>
          <w:szCs w:val="24"/>
          <w:shd w:val="clear" w:color="auto" w:fill="FFFFFF"/>
        </w:rPr>
        <w:br/>
      </w:r>
      <w:r w:rsidRPr="00CB63BC">
        <w:rPr>
          <w:rFonts w:ascii="Arial" w:eastAsia="Calibri" w:hAnsi="Arial" w:cs="Arial"/>
          <w:sz w:val="24"/>
          <w:szCs w:val="24"/>
        </w:rPr>
        <w:t>Abstract: Hopping between multiple apps and platforms can easily overwhelm students with ADHD – we must</w:t>
      </w:r>
      <w:r w:rsidRPr="00CB63BC">
        <w:rPr>
          <w:rFonts w:ascii="Arial" w:eastAsia="Calibri" w:hAnsi="Arial" w:cs="Arial"/>
          <w:color w:val="000000"/>
          <w:sz w:val="24"/>
          <w:szCs w:val="24"/>
          <w:shd w:val="clear" w:color="auto" w:fill="FFFFFF"/>
        </w:rPr>
        <w:t xml:space="preserve"> </w:t>
      </w:r>
      <w:r w:rsidRPr="00CB63BC">
        <w:rPr>
          <w:rFonts w:ascii="Arial" w:eastAsia="Calibri" w:hAnsi="Arial" w:cs="Arial"/>
          <w:sz w:val="24"/>
          <w:szCs w:val="24"/>
        </w:rPr>
        <w:t xml:space="preserve">be alert to the effects of too much digital multitasking, says Adrian J. </w:t>
      </w:r>
      <w:proofErr w:type="spellStart"/>
      <w:r w:rsidRPr="00CB63BC">
        <w:rPr>
          <w:rFonts w:ascii="Arial" w:eastAsia="Calibri" w:hAnsi="Arial" w:cs="Arial"/>
          <w:sz w:val="24"/>
          <w:szCs w:val="24"/>
        </w:rPr>
        <w:t>Wallbank</w:t>
      </w:r>
      <w:proofErr w:type="spellEnd"/>
    </w:p>
    <w:p w14:paraId="45D28914" w14:textId="77777777" w:rsidR="00145FB6" w:rsidRPr="00CB63BC" w:rsidRDefault="00145FB6" w:rsidP="00CB63BC">
      <w:pPr>
        <w:spacing w:line="360" w:lineRule="auto"/>
        <w:ind w:hanging="240"/>
        <w:rPr>
          <w:rFonts w:ascii="Arial" w:eastAsia="Calibri" w:hAnsi="Arial" w:cs="Arial"/>
          <w:sz w:val="24"/>
          <w:szCs w:val="24"/>
        </w:rPr>
      </w:pPr>
    </w:p>
    <w:p w14:paraId="5B3F1095" w14:textId="7CF38189" w:rsidR="000A1C36" w:rsidRPr="00EB0C29" w:rsidRDefault="00145FB6" w:rsidP="00EB0C29">
      <w:pPr>
        <w:spacing w:line="360" w:lineRule="auto"/>
        <w:ind w:hanging="240"/>
        <w:rPr>
          <w:rFonts w:ascii="Arial" w:eastAsia="Calibri" w:hAnsi="Arial" w:cs="Arial"/>
          <w:b/>
          <w:bCs/>
          <w:sz w:val="24"/>
          <w:szCs w:val="24"/>
        </w:rPr>
      </w:pPr>
      <w:r w:rsidRPr="00C07C1D">
        <w:rPr>
          <w:rFonts w:ascii="Arial" w:eastAsia="Calibri" w:hAnsi="Arial" w:cs="Arial"/>
          <w:b/>
          <w:bCs/>
          <w:sz w:val="24"/>
          <w:szCs w:val="24"/>
        </w:rPr>
        <w:t>Autism / Neurodiversity</w:t>
      </w:r>
    </w:p>
    <w:p w14:paraId="7B8579E2" w14:textId="77777777" w:rsidR="000A1C36" w:rsidRPr="00CB63BC" w:rsidRDefault="000A1C36" w:rsidP="00CB63BC">
      <w:pPr>
        <w:spacing w:line="360" w:lineRule="auto"/>
        <w:ind w:left="-240"/>
        <w:rPr>
          <w:rFonts w:ascii="Arial" w:eastAsia="Times New Roman" w:hAnsi="Arial" w:cs="Arial"/>
          <w:sz w:val="24"/>
          <w:szCs w:val="24"/>
        </w:rPr>
      </w:pPr>
      <w:proofErr w:type="spellStart"/>
      <w:r w:rsidRPr="00CB63BC">
        <w:rPr>
          <w:rStyle w:val="xxcsl-entry"/>
          <w:rFonts w:ascii="Arial" w:eastAsia="Times New Roman" w:hAnsi="Arial" w:cs="Arial"/>
          <w:sz w:val="24"/>
          <w:szCs w:val="24"/>
        </w:rPr>
        <w:t>Kasperski</w:t>
      </w:r>
      <w:proofErr w:type="spellEnd"/>
      <w:r w:rsidRPr="00CB63BC">
        <w:rPr>
          <w:rStyle w:val="xxcsl-entry"/>
          <w:rFonts w:ascii="Arial" w:eastAsia="Times New Roman" w:hAnsi="Arial" w:cs="Arial"/>
          <w:sz w:val="24"/>
          <w:szCs w:val="24"/>
        </w:rPr>
        <w:t xml:space="preserve">, R., &amp; </w:t>
      </w:r>
      <w:proofErr w:type="spellStart"/>
      <w:r w:rsidRPr="00CB63BC">
        <w:rPr>
          <w:rStyle w:val="xxcsl-entry"/>
          <w:rFonts w:ascii="Arial" w:eastAsia="Times New Roman" w:hAnsi="Arial" w:cs="Arial"/>
          <w:sz w:val="24"/>
          <w:szCs w:val="24"/>
        </w:rPr>
        <w:t>Blau</w:t>
      </w:r>
      <w:proofErr w:type="spellEnd"/>
      <w:r w:rsidRPr="00CB63BC">
        <w:rPr>
          <w:rStyle w:val="xxcsl-entry"/>
          <w:rFonts w:ascii="Arial" w:eastAsia="Times New Roman" w:hAnsi="Arial" w:cs="Arial"/>
          <w:sz w:val="24"/>
          <w:szCs w:val="24"/>
        </w:rPr>
        <w:t xml:space="preserve">, I. (2023). Can an online mentoring social network assist students with intellectual disabilities or autism in coping with special needs and accumulating social capital? </w:t>
      </w:r>
      <w:r w:rsidRPr="00CB63BC">
        <w:rPr>
          <w:rStyle w:val="xxcsl-entry"/>
          <w:rFonts w:ascii="Arial" w:eastAsia="Times New Roman" w:hAnsi="Arial" w:cs="Arial"/>
          <w:i/>
          <w:iCs/>
          <w:sz w:val="24"/>
          <w:szCs w:val="24"/>
        </w:rPr>
        <w:t>Education and Information Technologies</w:t>
      </w:r>
      <w:r w:rsidRPr="00CB63BC">
        <w:rPr>
          <w:rStyle w:val="xxcsl-entry"/>
          <w:rFonts w:ascii="Arial" w:eastAsia="Times New Roman" w:hAnsi="Arial" w:cs="Arial"/>
          <w:sz w:val="24"/>
          <w:szCs w:val="24"/>
        </w:rPr>
        <w:t xml:space="preserve">, </w:t>
      </w:r>
      <w:r w:rsidRPr="00CB63BC">
        <w:rPr>
          <w:rStyle w:val="xxcsl-entry"/>
          <w:rFonts w:ascii="Arial" w:eastAsia="Times New Roman" w:hAnsi="Arial" w:cs="Arial"/>
          <w:i/>
          <w:iCs/>
          <w:sz w:val="24"/>
          <w:szCs w:val="24"/>
        </w:rPr>
        <w:t>28</w:t>
      </w:r>
      <w:r w:rsidRPr="00CB63BC">
        <w:rPr>
          <w:rStyle w:val="xxcsl-entry"/>
          <w:rFonts w:ascii="Arial" w:eastAsia="Times New Roman" w:hAnsi="Arial" w:cs="Arial"/>
          <w:sz w:val="24"/>
          <w:szCs w:val="24"/>
        </w:rPr>
        <w:t xml:space="preserve">(5), 6027–6047. </w:t>
      </w:r>
      <w:hyperlink r:id="rId7" w:history="1">
        <w:r w:rsidRPr="00CB63BC">
          <w:rPr>
            <w:rStyle w:val="Hyperlink"/>
            <w:rFonts w:ascii="Arial" w:eastAsia="Times New Roman" w:hAnsi="Arial" w:cs="Arial"/>
            <w:sz w:val="24"/>
            <w:szCs w:val="24"/>
          </w:rPr>
          <w:t>https://doi.org/10.1007/s10639-022-11390-0</w:t>
        </w:r>
      </w:hyperlink>
    </w:p>
    <w:p w14:paraId="4AA1D939" w14:textId="77777777" w:rsidR="000A1C36" w:rsidRPr="00CB63BC" w:rsidRDefault="000A1C36" w:rsidP="00CB63BC">
      <w:pPr>
        <w:spacing w:line="360" w:lineRule="auto"/>
        <w:ind w:hanging="240"/>
        <w:rPr>
          <w:rFonts w:ascii="Arial" w:eastAsia="Times New Roman" w:hAnsi="Arial" w:cs="Arial"/>
          <w:sz w:val="24"/>
          <w:szCs w:val="24"/>
        </w:rPr>
      </w:pPr>
      <w:r w:rsidRPr="00CB63BC">
        <w:rPr>
          <w:rStyle w:val="xxcontentpasted3"/>
          <w:rFonts w:ascii="Arial" w:eastAsia="Times New Roman" w:hAnsi="Arial" w:cs="Arial"/>
          <w:color w:val="595959"/>
          <w:sz w:val="24"/>
          <w:szCs w:val="24"/>
        </w:rPr>
        <w:t xml:space="preserve">This study examined whether and how an online mentoring social network (SN) assists students with special needs--Intellectual Disabilities (ID) or </w:t>
      </w:r>
      <w:proofErr w:type="gramStart"/>
      <w:r w:rsidRPr="00CB63BC">
        <w:rPr>
          <w:rStyle w:val="xxcontentpasted3"/>
          <w:rFonts w:ascii="Arial" w:eastAsia="Times New Roman" w:hAnsi="Arial" w:cs="Arial"/>
          <w:color w:val="595959"/>
          <w:sz w:val="24"/>
          <w:szCs w:val="24"/>
        </w:rPr>
        <w:t>Autism Spectrum Disorder</w:t>
      </w:r>
      <w:proofErr w:type="gramEnd"/>
      <w:r w:rsidRPr="00CB63BC">
        <w:rPr>
          <w:rStyle w:val="xxcontentpasted3"/>
          <w:rFonts w:ascii="Arial" w:eastAsia="Times New Roman" w:hAnsi="Arial" w:cs="Arial"/>
          <w:color w:val="595959"/>
          <w:sz w:val="24"/>
          <w:szCs w:val="24"/>
        </w:rPr>
        <w:t xml:space="preserve"> (ASD), in coping with their disabilities and accumulating bonding and bridging types of social capital. The study used a qualitative research paradigm--</w:t>
      </w:r>
      <w:proofErr w:type="spellStart"/>
      <w:r w:rsidRPr="00CB63BC">
        <w:rPr>
          <w:rStyle w:val="xxcontentpasted3"/>
          <w:rFonts w:ascii="Arial" w:eastAsia="Times New Roman" w:hAnsi="Arial" w:cs="Arial"/>
          <w:color w:val="595959"/>
          <w:sz w:val="24"/>
          <w:szCs w:val="24"/>
        </w:rPr>
        <w:t>Netnography</w:t>
      </w:r>
      <w:proofErr w:type="spellEnd"/>
      <w:r w:rsidRPr="00CB63BC">
        <w:rPr>
          <w:rStyle w:val="xxcontentpasted3"/>
          <w:rFonts w:ascii="Arial" w:eastAsia="Times New Roman" w:hAnsi="Arial" w:cs="Arial"/>
          <w:color w:val="595959"/>
          <w:sz w:val="24"/>
          <w:szCs w:val="24"/>
        </w:rPr>
        <w:t xml:space="preserve"> to crosscheck observations of the participants' online activities with content analysis of their posts and a network analysis of the participants' interactions with four mentor types -- students with disabilities, high-school students, </w:t>
      </w:r>
      <w:proofErr w:type="gramStart"/>
      <w:r w:rsidRPr="00CB63BC">
        <w:rPr>
          <w:rStyle w:val="xxcontentpasted3"/>
          <w:rFonts w:ascii="Arial" w:eastAsia="Times New Roman" w:hAnsi="Arial" w:cs="Arial"/>
          <w:color w:val="595959"/>
          <w:sz w:val="24"/>
          <w:szCs w:val="24"/>
        </w:rPr>
        <w:t>undergraduates</w:t>
      </w:r>
      <w:proofErr w:type="gramEnd"/>
      <w:r w:rsidRPr="00CB63BC">
        <w:rPr>
          <w:rStyle w:val="xxcontentpasted3"/>
          <w:rFonts w:ascii="Arial" w:eastAsia="Times New Roman" w:hAnsi="Arial" w:cs="Arial"/>
          <w:color w:val="595959"/>
          <w:sz w:val="24"/>
          <w:szCs w:val="24"/>
        </w:rPr>
        <w:t xml:space="preserve"> and teachers. The findings showed that the online mentoring SN functioned as an assistive technology for students with ID and ASD who actively interacted with other members to accumulate social capital, share </w:t>
      </w:r>
      <w:proofErr w:type="gramStart"/>
      <w:r w:rsidRPr="00CB63BC">
        <w:rPr>
          <w:rStyle w:val="xxcontentpasted3"/>
          <w:rFonts w:ascii="Arial" w:eastAsia="Times New Roman" w:hAnsi="Arial" w:cs="Arial"/>
          <w:color w:val="595959"/>
          <w:sz w:val="24"/>
          <w:szCs w:val="24"/>
        </w:rPr>
        <w:t>information</w:t>
      </w:r>
      <w:proofErr w:type="gramEnd"/>
      <w:r w:rsidRPr="00CB63BC">
        <w:rPr>
          <w:rStyle w:val="xxcontentpasted3"/>
          <w:rFonts w:ascii="Arial" w:eastAsia="Times New Roman" w:hAnsi="Arial" w:cs="Arial"/>
          <w:color w:val="595959"/>
          <w:sz w:val="24"/>
          <w:szCs w:val="24"/>
        </w:rPr>
        <w:t xml:space="preserve"> and receive support. The most prevalent categories in the analysis were sharing of personal experiences and interests, and emotion processing, whereas coping with disability and self-introduction were less common. Surprisingly, undergraduate mentors and most of the teachers interacted only within their own groups and not with students. Theoretical and educational implications are discussed.</w:t>
      </w:r>
      <w:r w:rsidRPr="00CB63BC">
        <w:rPr>
          <w:rFonts w:ascii="Arial" w:eastAsia="Times New Roman" w:hAnsi="Arial" w:cs="Arial"/>
          <w:sz w:val="24"/>
          <w:szCs w:val="24"/>
        </w:rPr>
        <w:t xml:space="preserve"> </w:t>
      </w:r>
    </w:p>
    <w:p w14:paraId="56F476FC" w14:textId="77777777" w:rsidR="000A1C36" w:rsidRPr="00CB63BC" w:rsidRDefault="000A1C36" w:rsidP="00CB63BC">
      <w:pPr>
        <w:spacing w:line="360" w:lineRule="auto"/>
        <w:ind w:hanging="240"/>
        <w:rPr>
          <w:rFonts w:ascii="Arial" w:eastAsia="Calibri" w:hAnsi="Arial" w:cs="Arial"/>
          <w:color w:val="000000"/>
          <w:sz w:val="24"/>
          <w:szCs w:val="24"/>
          <w:shd w:val="clear" w:color="auto" w:fill="FFFFFF"/>
        </w:rPr>
      </w:pPr>
    </w:p>
    <w:p w14:paraId="32A7D635" w14:textId="77777777" w:rsidR="000F137C" w:rsidRPr="00CB63BC" w:rsidRDefault="000F137C" w:rsidP="00CB63BC">
      <w:pPr>
        <w:spacing w:line="360" w:lineRule="auto"/>
        <w:ind w:hanging="240"/>
        <w:rPr>
          <w:rFonts w:ascii="Arial" w:eastAsia="Times New Roman" w:hAnsi="Arial" w:cs="Arial"/>
          <w:color w:val="000000"/>
          <w:sz w:val="24"/>
          <w:szCs w:val="24"/>
        </w:rPr>
      </w:pPr>
    </w:p>
    <w:p w14:paraId="3623E847" w14:textId="77777777" w:rsidR="00145FB6" w:rsidRPr="00C07C1D" w:rsidRDefault="000F137C" w:rsidP="00CB63BC">
      <w:pPr>
        <w:spacing w:line="360" w:lineRule="auto"/>
        <w:ind w:hanging="240"/>
        <w:rPr>
          <w:rFonts w:ascii="Arial" w:eastAsia="Times New Roman" w:hAnsi="Arial" w:cs="Arial"/>
          <w:b/>
          <w:bCs/>
          <w:color w:val="000000"/>
          <w:sz w:val="24"/>
          <w:szCs w:val="24"/>
        </w:rPr>
      </w:pPr>
      <w:r w:rsidRPr="00C07C1D">
        <w:rPr>
          <w:rFonts w:ascii="Arial" w:eastAsia="Times New Roman" w:hAnsi="Arial" w:cs="Arial"/>
          <w:b/>
          <w:bCs/>
          <w:color w:val="000000"/>
          <w:sz w:val="24"/>
          <w:szCs w:val="24"/>
        </w:rPr>
        <w:lastRenderedPageBreak/>
        <w:t>Blind Students</w:t>
      </w:r>
      <w:r w:rsidR="00145FB6" w:rsidRPr="00C07C1D">
        <w:rPr>
          <w:rFonts w:ascii="Arial" w:eastAsia="Times New Roman" w:hAnsi="Arial" w:cs="Arial"/>
          <w:b/>
          <w:bCs/>
          <w:color w:val="000000"/>
          <w:sz w:val="24"/>
          <w:szCs w:val="24"/>
        </w:rPr>
        <w:br/>
      </w:r>
    </w:p>
    <w:p w14:paraId="7EC0B4C9" w14:textId="0C38E394" w:rsidR="00DF73F0" w:rsidRPr="00CB63BC" w:rsidRDefault="00DF73F0" w:rsidP="00CB63BC">
      <w:pPr>
        <w:spacing w:line="360" w:lineRule="auto"/>
        <w:ind w:hanging="240"/>
        <w:rPr>
          <w:rFonts w:ascii="Arial" w:eastAsia="Times New Roman" w:hAnsi="Arial" w:cs="Arial"/>
          <w:color w:val="000000"/>
          <w:sz w:val="24"/>
          <w:szCs w:val="24"/>
        </w:rPr>
      </w:pPr>
      <w:r w:rsidRPr="00CB63BC">
        <w:rPr>
          <w:rStyle w:val="xcsl-entry"/>
          <w:rFonts w:ascii="Arial" w:eastAsia="Times New Roman" w:hAnsi="Arial" w:cs="Arial"/>
          <w:color w:val="000000"/>
          <w:sz w:val="24"/>
          <w:szCs w:val="24"/>
        </w:rPr>
        <w:t>Sayed, S., &amp; Cenk, A. (2023). Challenges of visually impaired university students in</w:t>
      </w:r>
      <w:r w:rsidR="00145FB6" w:rsidRPr="00CB63BC">
        <w:rPr>
          <w:rStyle w:val="xcsl-entry"/>
          <w:rFonts w:ascii="Arial" w:eastAsia="Times New Roman" w:hAnsi="Arial" w:cs="Arial"/>
          <w:color w:val="000000"/>
          <w:sz w:val="24"/>
          <w:szCs w:val="24"/>
        </w:rPr>
        <w:t xml:space="preserve"> </w:t>
      </w:r>
      <w:r w:rsidRPr="00CB63BC">
        <w:rPr>
          <w:rStyle w:val="xcsl-entry"/>
          <w:rFonts w:ascii="Arial" w:eastAsia="Times New Roman" w:hAnsi="Arial" w:cs="Arial"/>
          <w:color w:val="000000"/>
          <w:sz w:val="24"/>
          <w:szCs w:val="24"/>
        </w:rPr>
        <w:t xml:space="preserve">education: A meta-synthesis study. </w:t>
      </w:r>
      <w:r w:rsidRPr="00CB63BC">
        <w:rPr>
          <w:rStyle w:val="xcsl-entry"/>
          <w:rFonts w:ascii="Arial" w:eastAsia="Times New Roman" w:hAnsi="Arial" w:cs="Arial"/>
          <w:i/>
          <w:iCs/>
          <w:color w:val="000000"/>
          <w:sz w:val="24"/>
          <w:szCs w:val="24"/>
        </w:rPr>
        <w:t>I-Manager’s Journal on Educational Psychology</w:t>
      </w:r>
      <w:r w:rsidRPr="00CB63BC">
        <w:rPr>
          <w:rStyle w:val="xcsl-entry"/>
          <w:rFonts w:ascii="Arial" w:eastAsia="Times New Roman" w:hAnsi="Arial" w:cs="Arial"/>
          <w:color w:val="000000"/>
          <w:sz w:val="24"/>
          <w:szCs w:val="24"/>
        </w:rPr>
        <w:t xml:space="preserve">, </w:t>
      </w:r>
      <w:r w:rsidRPr="00CB63BC">
        <w:rPr>
          <w:rStyle w:val="xcsl-entry"/>
          <w:rFonts w:ascii="Arial" w:eastAsia="Times New Roman" w:hAnsi="Arial" w:cs="Arial"/>
          <w:i/>
          <w:iCs/>
          <w:color w:val="000000"/>
          <w:sz w:val="24"/>
          <w:szCs w:val="24"/>
        </w:rPr>
        <w:t>16</w:t>
      </w:r>
      <w:r w:rsidRPr="00CB63BC">
        <w:rPr>
          <w:rStyle w:val="xcsl-entry"/>
          <w:rFonts w:ascii="Arial" w:eastAsia="Times New Roman" w:hAnsi="Arial" w:cs="Arial"/>
          <w:color w:val="000000"/>
          <w:sz w:val="24"/>
          <w:szCs w:val="24"/>
        </w:rPr>
        <w:t xml:space="preserve">(3), 46. </w:t>
      </w:r>
      <w:hyperlink r:id="rId8" w:history="1">
        <w:r w:rsidRPr="00CB63BC">
          <w:rPr>
            <w:rStyle w:val="Hyperlink"/>
            <w:rFonts w:ascii="Arial" w:eastAsia="Times New Roman" w:hAnsi="Arial" w:cs="Arial"/>
            <w:sz w:val="24"/>
            <w:szCs w:val="24"/>
          </w:rPr>
          <w:t>https://doi.org/10.26634/jpsy.16.3.18945</w:t>
        </w:r>
      </w:hyperlink>
    </w:p>
    <w:p w14:paraId="41E48FE3" w14:textId="77777777" w:rsidR="00DF73F0" w:rsidRPr="00CB63BC" w:rsidRDefault="00DF73F0" w:rsidP="00CB63BC">
      <w:pPr>
        <w:spacing w:line="360" w:lineRule="auto"/>
        <w:rPr>
          <w:rFonts w:ascii="Arial" w:eastAsia="Times New Roman" w:hAnsi="Arial" w:cs="Arial"/>
          <w:color w:val="000000"/>
          <w:sz w:val="24"/>
          <w:szCs w:val="24"/>
        </w:rPr>
      </w:pPr>
      <w:r w:rsidRPr="00CB63BC">
        <w:rPr>
          <w:rFonts w:ascii="Arial" w:eastAsia="Times New Roman" w:hAnsi="Arial" w:cs="Arial"/>
          <w:color w:val="000000"/>
          <w:sz w:val="24"/>
          <w:szCs w:val="24"/>
        </w:rPr>
        <w:t>Along with the expansion of education and laying the foundations of self-sufficiency for all members of society, the visually impaired students continued their education with other students in various fields of higher education. In this process, the limitations caused by visual impairment and the limitations originating from the shortcomings of the environment other than the visually impaired individuals themselves lead to many difficulties, which must be minimised to receive quality education. The aim of the research is to interpret and evaluate the problems and suggest solutions to visually impaired university students and reveal their similar and different aspects and new inferences through a systematic review of qualitative research findings between the years 2000 and 2021, using a meta-synthesis method. The results suggest that accessing campus from residence, accessing information, using technology and virtual materials on campus, social and educational attitudes, educational conditions, and assessment results cause different difficulties for visually impaired university students. Issuing legal regulations, improving the performance level of the visually impaired individuals in orientation and mobility, providing professional staff training, and procuring trained live readers or screen readers, hearing aids, touching aids, and helpers, as well as providing sufficient time for analysing tactile materials such as Braille and carefully answering the questions, are all recommended to solve the rising difficulties.</w:t>
      </w:r>
    </w:p>
    <w:p w14:paraId="00147E1F" w14:textId="77777777" w:rsidR="000A1C36" w:rsidRPr="00CB63BC" w:rsidRDefault="000A1C36" w:rsidP="00C07C1D">
      <w:pPr>
        <w:spacing w:line="360" w:lineRule="auto"/>
        <w:rPr>
          <w:rFonts w:ascii="Arial" w:eastAsia="Times New Roman" w:hAnsi="Arial" w:cs="Arial"/>
          <w:sz w:val="24"/>
          <w:szCs w:val="24"/>
        </w:rPr>
      </w:pPr>
    </w:p>
    <w:p w14:paraId="1C2DB15C" w14:textId="50A8C15A" w:rsidR="000A1C36" w:rsidRPr="00C07C1D" w:rsidRDefault="000A1C36" w:rsidP="00CB63BC">
      <w:pPr>
        <w:spacing w:line="360" w:lineRule="auto"/>
        <w:ind w:left="-240"/>
        <w:rPr>
          <w:rFonts w:ascii="Arial" w:eastAsia="Times New Roman" w:hAnsi="Arial" w:cs="Arial"/>
          <w:b/>
          <w:bCs/>
          <w:sz w:val="24"/>
          <w:szCs w:val="24"/>
        </w:rPr>
      </w:pPr>
      <w:r w:rsidRPr="00C07C1D">
        <w:rPr>
          <w:rFonts w:ascii="Arial" w:eastAsia="Times New Roman" w:hAnsi="Arial" w:cs="Arial"/>
          <w:b/>
          <w:bCs/>
          <w:sz w:val="24"/>
          <w:szCs w:val="24"/>
        </w:rPr>
        <w:t>Mental health</w:t>
      </w:r>
    </w:p>
    <w:p w14:paraId="1FF9E3E6" w14:textId="77777777" w:rsidR="000A1C36" w:rsidRPr="00CB63BC" w:rsidRDefault="000A1C36" w:rsidP="00CB63BC">
      <w:pPr>
        <w:spacing w:after="0" w:line="360" w:lineRule="auto"/>
        <w:ind w:hanging="240"/>
        <w:rPr>
          <w:rFonts w:ascii="Arial" w:eastAsia="Times New Roman" w:hAnsi="Arial" w:cs="Arial"/>
          <w:sz w:val="24"/>
          <w:szCs w:val="24"/>
          <w:lang w:eastAsia="en-GB"/>
        </w:rPr>
      </w:pPr>
      <w:r w:rsidRPr="00CB63BC">
        <w:rPr>
          <w:rFonts w:ascii="Arial" w:eastAsia="Times New Roman" w:hAnsi="Arial" w:cs="Arial"/>
          <w:sz w:val="24"/>
          <w:szCs w:val="24"/>
          <w:lang w:eastAsia="en-GB"/>
        </w:rPr>
        <w:t xml:space="preserve">Davis, R. A., Wolfe, J., &amp; Heiman, N. (2023). Increasing utilization of student mental health services on a college campus: Eight actionable tips. </w:t>
      </w:r>
      <w:r w:rsidRPr="00CB63BC">
        <w:rPr>
          <w:rFonts w:ascii="Arial" w:eastAsia="Times New Roman" w:hAnsi="Arial" w:cs="Arial"/>
          <w:i/>
          <w:iCs/>
          <w:sz w:val="24"/>
          <w:szCs w:val="24"/>
          <w:lang w:eastAsia="en-GB"/>
        </w:rPr>
        <w:t>Journal of American College Health</w:t>
      </w:r>
      <w:r w:rsidRPr="00CB63BC">
        <w:rPr>
          <w:rFonts w:ascii="Arial" w:eastAsia="Times New Roman" w:hAnsi="Arial" w:cs="Arial"/>
          <w:sz w:val="24"/>
          <w:szCs w:val="24"/>
          <w:lang w:eastAsia="en-GB"/>
        </w:rPr>
        <w:t xml:space="preserve">, </w:t>
      </w:r>
      <w:r w:rsidRPr="00CB63BC">
        <w:rPr>
          <w:rFonts w:ascii="Arial" w:eastAsia="Times New Roman" w:hAnsi="Arial" w:cs="Arial"/>
          <w:i/>
          <w:iCs/>
          <w:sz w:val="24"/>
          <w:szCs w:val="24"/>
          <w:lang w:eastAsia="en-GB"/>
        </w:rPr>
        <w:t>71</w:t>
      </w:r>
      <w:r w:rsidRPr="00CB63BC">
        <w:rPr>
          <w:rFonts w:ascii="Arial" w:eastAsia="Times New Roman" w:hAnsi="Arial" w:cs="Arial"/>
          <w:sz w:val="24"/>
          <w:szCs w:val="24"/>
          <w:lang w:eastAsia="en-GB"/>
        </w:rPr>
        <w:t xml:space="preserve">(3), 655–659. </w:t>
      </w:r>
      <w:hyperlink r:id="rId9" w:history="1">
        <w:r w:rsidRPr="00CB63BC">
          <w:rPr>
            <w:rStyle w:val="Hyperlink"/>
            <w:rFonts w:ascii="Arial" w:eastAsia="Times New Roman" w:hAnsi="Arial" w:cs="Arial"/>
            <w:sz w:val="24"/>
            <w:szCs w:val="24"/>
            <w:lang w:eastAsia="en-GB"/>
          </w:rPr>
          <w:t>https://doi.org/10.1080/07448481.2021.1909035</w:t>
        </w:r>
      </w:hyperlink>
    </w:p>
    <w:p w14:paraId="00144BC0" w14:textId="750E6884" w:rsidR="00DF73F0" w:rsidRPr="00CB63BC" w:rsidRDefault="00DF73F0" w:rsidP="00CB63BC">
      <w:pPr>
        <w:spacing w:line="360" w:lineRule="auto"/>
        <w:ind w:left="-240"/>
        <w:rPr>
          <w:rFonts w:ascii="Arial" w:eastAsia="Times New Roman" w:hAnsi="Arial" w:cs="Arial"/>
          <w:sz w:val="24"/>
          <w:szCs w:val="24"/>
        </w:rPr>
      </w:pPr>
    </w:p>
    <w:p w14:paraId="596AAA8E" w14:textId="77777777" w:rsidR="00DF73F0" w:rsidRPr="00CB63BC" w:rsidRDefault="00DF73F0" w:rsidP="00CB63BC">
      <w:pPr>
        <w:spacing w:line="360" w:lineRule="auto"/>
        <w:rPr>
          <w:rFonts w:ascii="Arial" w:eastAsia="Times New Roman" w:hAnsi="Arial" w:cs="Arial"/>
          <w:color w:val="000000"/>
          <w:sz w:val="24"/>
          <w:szCs w:val="24"/>
        </w:rPr>
      </w:pPr>
      <w:r w:rsidRPr="00CB63BC">
        <w:rPr>
          <w:rStyle w:val="xxcsl-entry"/>
          <w:rFonts w:ascii="Arial" w:eastAsia="Times New Roman" w:hAnsi="Arial" w:cs="Arial"/>
          <w:color w:val="000000"/>
          <w:sz w:val="24"/>
          <w:szCs w:val="24"/>
        </w:rPr>
        <w:lastRenderedPageBreak/>
        <w:t xml:space="preserve">Johnson, R. L., Nandan, M., Culp, B., &amp; Thomas, D. (2023). College Students’ Mental Health Help-Seeking </w:t>
      </w:r>
      <w:proofErr w:type="spellStart"/>
      <w:r w:rsidRPr="00CB63BC">
        <w:rPr>
          <w:rStyle w:val="xxcsl-entry"/>
          <w:rFonts w:ascii="Arial" w:eastAsia="Times New Roman" w:hAnsi="Arial" w:cs="Arial"/>
          <w:color w:val="000000"/>
          <w:sz w:val="24"/>
          <w:szCs w:val="24"/>
        </w:rPr>
        <w:t>Behaviors</w:t>
      </w:r>
      <w:proofErr w:type="spellEnd"/>
      <w:r w:rsidRPr="00CB63BC">
        <w:rPr>
          <w:rStyle w:val="xxcsl-entry"/>
          <w:rFonts w:ascii="Arial" w:eastAsia="Times New Roman" w:hAnsi="Arial" w:cs="Arial"/>
          <w:color w:val="000000"/>
          <w:sz w:val="24"/>
          <w:szCs w:val="24"/>
        </w:rPr>
        <w:t xml:space="preserve">. </w:t>
      </w:r>
      <w:r w:rsidRPr="00CB63BC">
        <w:rPr>
          <w:rStyle w:val="xxcsl-entry"/>
          <w:rFonts w:ascii="Arial" w:eastAsia="Times New Roman" w:hAnsi="Arial" w:cs="Arial"/>
          <w:i/>
          <w:iCs/>
          <w:color w:val="000000"/>
          <w:sz w:val="24"/>
          <w:szCs w:val="24"/>
        </w:rPr>
        <w:t>College Student Affairs Journal</w:t>
      </w:r>
      <w:r w:rsidRPr="00CB63BC">
        <w:rPr>
          <w:rStyle w:val="xxcsl-entry"/>
          <w:rFonts w:ascii="Arial" w:eastAsia="Times New Roman" w:hAnsi="Arial" w:cs="Arial"/>
          <w:color w:val="000000"/>
          <w:sz w:val="24"/>
          <w:szCs w:val="24"/>
        </w:rPr>
        <w:t xml:space="preserve">, </w:t>
      </w:r>
      <w:r w:rsidRPr="00CB63BC">
        <w:rPr>
          <w:rStyle w:val="xxcsl-entry"/>
          <w:rFonts w:ascii="Arial" w:eastAsia="Times New Roman" w:hAnsi="Arial" w:cs="Arial"/>
          <w:i/>
          <w:iCs/>
          <w:color w:val="000000"/>
          <w:sz w:val="24"/>
          <w:szCs w:val="24"/>
        </w:rPr>
        <w:t>41</w:t>
      </w:r>
      <w:r w:rsidRPr="00CB63BC">
        <w:rPr>
          <w:rStyle w:val="xxcsl-entry"/>
          <w:rFonts w:ascii="Arial" w:eastAsia="Times New Roman" w:hAnsi="Arial" w:cs="Arial"/>
          <w:color w:val="000000"/>
          <w:sz w:val="24"/>
          <w:szCs w:val="24"/>
        </w:rPr>
        <w:t xml:space="preserve">(1), 73–89. </w:t>
      </w:r>
      <w:hyperlink r:id="rId10" w:history="1">
        <w:r w:rsidRPr="00CB63BC">
          <w:rPr>
            <w:rStyle w:val="Hyperlink"/>
            <w:rFonts w:ascii="Arial" w:eastAsia="Times New Roman" w:hAnsi="Arial" w:cs="Arial"/>
            <w:sz w:val="24"/>
            <w:szCs w:val="24"/>
          </w:rPr>
          <w:t>https://doi.org/10.1353/csj.2023.0005</w:t>
        </w:r>
      </w:hyperlink>
    </w:p>
    <w:p w14:paraId="6C1DE49F" w14:textId="3062232C" w:rsidR="00DF73F0" w:rsidRPr="00CB63BC" w:rsidRDefault="000A1C36" w:rsidP="00CB63BC">
      <w:pPr>
        <w:spacing w:line="360" w:lineRule="auto"/>
        <w:rPr>
          <w:rFonts w:ascii="Arial" w:eastAsia="Times New Roman" w:hAnsi="Arial" w:cs="Arial"/>
          <w:color w:val="000000"/>
          <w:sz w:val="24"/>
          <w:szCs w:val="24"/>
        </w:rPr>
      </w:pPr>
      <w:r w:rsidRPr="00CB63BC">
        <w:rPr>
          <w:rFonts w:ascii="Arial" w:eastAsia="Times New Roman" w:hAnsi="Arial" w:cs="Arial"/>
          <w:color w:val="000000"/>
          <w:sz w:val="24"/>
          <w:szCs w:val="24"/>
        </w:rPr>
        <w:t xml:space="preserve">Abstract: </w:t>
      </w:r>
      <w:r w:rsidR="00DF73F0" w:rsidRPr="00CB63BC">
        <w:rPr>
          <w:rFonts w:ascii="Arial" w:eastAsia="Times New Roman" w:hAnsi="Arial" w:cs="Arial"/>
          <w:color w:val="000000"/>
          <w:sz w:val="24"/>
          <w:szCs w:val="24"/>
        </w:rPr>
        <w:t xml:space="preserve">The present study explored where and how college students sought assistance and information for themselves and their family or friends who may have needed </w:t>
      </w:r>
      <w:proofErr w:type="spellStart"/>
      <w:r w:rsidR="00DF73F0" w:rsidRPr="00CB63BC">
        <w:rPr>
          <w:rFonts w:ascii="Arial" w:eastAsia="Times New Roman" w:hAnsi="Arial" w:cs="Arial"/>
          <w:color w:val="000000"/>
          <w:sz w:val="24"/>
          <w:szCs w:val="24"/>
        </w:rPr>
        <w:t>behavioral</w:t>
      </w:r>
      <w:proofErr w:type="spellEnd"/>
      <w:r w:rsidR="00DF73F0" w:rsidRPr="00CB63BC">
        <w:rPr>
          <w:rFonts w:ascii="Arial" w:eastAsia="Times New Roman" w:hAnsi="Arial" w:cs="Arial"/>
          <w:color w:val="000000"/>
          <w:sz w:val="24"/>
          <w:szCs w:val="24"/>
        </w:rPr>
        <w:t xml:space="preserve"> health and substance abuse disorder assistance. Two hundred and fifty-nine college students responded to the questionnaire at one of the 50 largest public higher education institutions in the Southeastern United States. Findings confirm that help-seeking is a multifaceted process involving social and professional support. Participants indicated that they would seek assistance earlier than they had </w:t>
      </w:r>
      <w:proofErr w:type="gramStart"/>
      <w:r w:rsidR="00DF73F0" w:rsidRPr="00CB63BC">
        <w:rPr>
          <w:rFonts w:ascii="Arial" w:eastAsia="Times New Roman" w:hAnsi="Arial" w:cs="Arial"/>
          <w:color w:val="000000"/>
          <w:sz w:val="24"/>
          <w:szCs w:val="24"/>
        </w:rPr>
        <w:t>and also</w:t>
      </w:r>
      <w:proofErr w:type="gramEnd"/>
      <w:r w:rsidR="00DF73F0" w:rsidRPr="00CB63BC">
        <w:rPr>
          <w:rFonts w:ascii="Arial" w:eastAsia="Times New Roman" w:hAnsi="Arial" w:cs="Arial"/>
          <w:color w:val="000000"/>
          <w:sz w:val="24"/>
          <w:szCs w:val="24"/>
        </w:rPr>
        <w:t xml:space="preserve"> make personal changes in their lives to address well-being. These findings can guide higher education administrators, faculty members, </w:t>
      </w:r>
      <w:proofErr w:type="spellStart"/>
      <w:r w:rsidR="00DF73F0" w:rsidRPr="00CB63BC">
        <w:rPr>
          <w:rFonts w:ascii="Arial" w:eastAsia="Times New Roman" w:hAnsi="Arial" w:cs="Arial"/>
          <w:color w:val="000000"/>
          <w:sz w:val="24"/>
          <w:szCs w:val="24"/>
        </w:rPr>
        <w:t>counseling</w:t>
      </w:r>
      <w:proofErr w:type="spellEnd"/>
      <w:r w:rsidR="00DF73F0" w:rsidRPr="00CB63BC">
        <w:rPr>
          <w:rFonts w:ascii="Arial" w:eastAsia="Times New Roman" w:hAnsi="Arial" w:cs="Arial"/>
          <w:color w:val="000000"/>
          <w:sz w:val="24"/>
          <w:szCs w:val="24"/>
        </w:rPr>
        <w:t xml:space="preserve"> staff on campuses, funders, and policymakers in designing and developing accessible and user-friendly programs and services for increasing student success on campuses.</w:t>
      </w:r>
    </w:p>
    <w:p w14:paraId="2F277F58" w14:textId="77777777" w:rsidR="000A1C36" w:rsidRPr="00CB63BC" w:rsidRDefault="000A1C36" w:rsidP="00CB63BC">
      <w:pPr>
        <w:spacing w:line="360" w:lineRule="auto"/>
        <w:rPr>
          <w:rFonts w:ascii="Arial" w:eastAsia="Times New Roman" w:hAnsi="Arial" w:cs="Arial"/>
          <w:color w:val="000000"/>
          <w:sz w:val="24"/>
          <w:szCs w:val="24"/>
        </w:rPr>
      </w:pPr>
    </w:p>
    <w:p w14:paraId="54458642" w14:textId="77777777" w:rsidR="000A1C36" w:rsidRPr="00CB63BC" w:rsidRDefault="000A1C36" w:rsidP="00CB63BC">
      <w:pPr>
        <w:spacing w:after="0" w:line="360" w:lineRule="auto"/>
        <w:ind w:hanging="240"/>
        <w:rPr>
          <w:rFonts w:ascii="Arial" w:eastAsia="Times New Roman" w:hAnsi="Arial" w:cs="Arial"/>
          <w:sz w:val="24"/>
          <w:szCs w:val="24"/>
          <w:lang w:eastAsia="en-GB"/>
        </w:rPr>
      </w:pPr>
      <w:proofErr w:type="spellStart"/>
      <w:r w:rsidRPr="00CB63BC">
        <w:rPr>
          <w:rFonts w:ascii="Arial" w:eastAsia="Times New Roman" w:hAnsi="Arial" w:cs="Arial"/>
          <w:sz w:val="24"/>
          <w:szCs w:val="24"/>
          <w:lang w:eastAsia="en-GB"/>
        </w:rPr>
        <w:t>Leath</w:t>
      </w:r>
      <w:proofErr w:type="spellEnd"/>
      <w:r w:rsidRPr="00CB63BC">
        <w:rPr>
          <w:rFonts w:ascii="Arial" w:eastAsia="Times New Roman" w:hAnsi="Arial" w:cs="Arial"/>
          <w:sz w:val="24"/>
          <w:szCs w:val="24"/>
          <w:lang w:eastAsia="en-GB"/>
        </w:rPr>
        <w:t xml:space="preserve">, S., Butler-Barnes, S., Jones, M. K., &amp; Ball, P. J. (2023). Linked fate among underrepresented groups: Investigating the relationships between Black college students’ perceptions of institutional diversity climate and mental health. </w:t>
      </w:r>
      <w:r w:rsidRPr="00CB63BC">
        <w:rPr>
          <w:rFonts w:ascii="Arial" w:eastAsia="Times New Roman" w:hAnsi="Arial" w:cs="Arial"/>
          <w:i/>
          <w:iCs/>
          <w:sz w:val="24"/>
          <w:szCs w:val="24"/>
          <w:lang w:eastAsia="en-GB"/>
        </w:rPr>
        <w:t>Journal of American College Health</w:t>
      </w:r>
      <w:r w:rsidRPr="00CB63BC">
        <w:rPr>
          <w:rFonts w:ascii="Arial" w:eastAsia="Times New Roman" w:hAnsi="Arial" w:cs="Arial"/>
          <w:sz w:val="24"/>
          <w:szCs w:val="24"/>
          <w:lang w:eastAsia="en-GB"/>
        </w:rPr>
        <w:t xml:space="preserve">, </w:t>
      </w:r>
      <w:r w:rsidRPr="00CB63BC">
        <w:rPr>
          <w:rFonts w:ascii="Arial" w:eastAsia="Times New Roman" w:hAnsi="Arial" w:cs="Arial"/>
          <w:i/>
          <w:iCs/>
          <w:sz w:val="24"/>
          <w:szCs w:val="24"/>
          <w:lang w:eastAsia="en-GB"/>
        </w:rPr>
        <w:t>71</w:t>
      </w:r>
      <w:r w:rsidRPr="00CB63BC">
        <w:rPr>
          <w:rFonts w:ascii="Arial" w:eastAsia="Times New Roman" w:hAnsi="Arial" w:cs="Arial"/>
          <w:sz w:val="24"/>
          <w:szCs w:val="24"/>
          <w:lang w:eastAsia="en-GB"/>
        </w:rPr>
        <w:t>(4), 1175–1183. https://doi.org/10.1080/07448481.2021.1924724</w:t>
      </w:r>
    </w:p>
    <w:p w14:paraId="0A3C8033" w14:textId="77777777" w:rsidR="000A1C36" w:rsidRPr="00CB63BC" w:rsidRDefault="000A1C36" w:rsidP="00CB63BC">
      <w:pPr>
        <w:spacing w:after="0" w:line="360" w:lineRule="auto"/>
        <w:ind w:hanging="240"/>
        <w:rPr>
          <w:rFonts w:ascii="Arial" w:eastAsia="Times New Roman" w:hAnsi="Arial" w:cs="Arial"/>
          <w:sz w:val="24"/>
          <w:szCs w:val="24"/>
          <w:lang w:eastAsia="en-GB"/>
        </w:rPr>
      </w:pPr>
      <w:r w:rsidRPr="00CB63BC">
        <w:rPr>
          <w:rFonts w:ascii="Arial" w:hAnsi="Arial" w:cs="Arial"/>
          <w:b/>
          <w:bCs/>
          <w:color w:val="212121"/>
          <w:sz w:val="24"/>
          <w:szCs w:val="24"/>
          <w:shd w:val="clear" w:color="auto" w:fill="FFFFFF"/>
        </w:rPr>
        <w:t>Objective:</w:t>
      </w:r>
      <w:r w:rsidRPr="00CB63BC">
        <w:rPr>
          <w:rFonts w:ascii="Arial" w:hAnsi="Arial" w:cs="Arial"/>
          <w:color w:val="212121"/>
          <w:sz w:val="24"/>
          <w:szCs w:val="24"/>
          <w:shd w:val="clear" w:color="auto" w:fill="FFFFFF"/>
        </w:rPr>
        <w:t> Negative perceptions of institutional racial climate relate to worse mental health outcomes for Black college students. Yet, few scholars have considered how Black students' perceptions of the institutional climate for other underrepresented groups may impact mental health. </w:t>
      </w:r>
      <w:r w:rsidRPr="00CB63BC">
        <w:rPr>
          <w:rFonts w:ascii="Arial" w:hAnsi="Arial" w:cs="Arial"/>
          <w:b/>
          <w:bCs/>
          <w:color w:val="212121"/>
          <w:sz w:val="24"/>
          <w:szCs w:val="24"/>
          <w:shd w:val="clear" w:color="auto" w:fill="FFFFFF"/>
        </w:rPr>
        <w:t>Participants and Methods:</w:t>
      </w:r>
      <w:r w:rsidRPr="00CB63BC">
        <w:rPr>
          <w:rFonts w:ascii="Arial" w:hAnsi="Arial" w:cs="Arial"/>
          <w:color w:val="212121"/>
          <w:sz w:val="24"/>
          <w:szCs w:val="24"/>
          <w:shd w:val="clear" w:color="auto" w:fill="FFFFFF"/>
        </w:rPr>
        <w:t> We drew on a national sample of Black college students across 15 institutions (</w:t>
      </w:r>
      <w:r w:rsidRPr="00CB63BC">
        <w:rPr>
          <w:rFonts w:ascii="Arial" w:hAnsi="Arial" w:cs="Arial"/>
          <w:i/>
          <w:iCs/>
          <w:color w:val="212121"/>
          <w:sz w:val="24"/>
          <w:szCs w:val="24"/>
          <w:shd w:val="clear" w:color="auto" w:fill="FFFFFF"/>
        </w:rPr>
        <w:t>n</w:t>
      </w:r>
      <w:r w:rsidRPr="00CB63BC">
        <w:rPr>
          <w:rFonts w:ascii="Arial" w:hAnsi="Arial" w:cs="Arial"/>
          <w:color w:val="212121"/>
          <w:sz w:val="24"/>
          <w:szCs w:val="24"/>
          <w:shd w:val="clear" w:color="auto" w:fill="FFFFFF"/>
        </w:rPr>
        <w:t> = 1188) to examine the effects of institutional diversity climate on students' anxiety, depression, and positive mental health. </w:t>
      </w:r>
      <w:r w:rsidRPr="00CB63BC">
        <w:rPr>
          <w:rFonts w:ascii="Arial" w:hAnsi="Arial" w:cs="Arial"/>
          <w:b/>
          <w:bCs/>
          <w:color w:val="212121"/>
          <w:sz w:val="24"/>
          <w:szCs w:val="24"/>
          <w:shd w:val="clear" w:color="auto" w:fill="FFFFFF"/>
        </w:rPr>
        <w:t>Results:</w:t>
      </w:r>
      <w:r w:rsidRPr="00CB63BC">
        <w:rPr>
          <w:rFonts w:ascii="Arial" w:hAnsi="Arial" w:cs="Arial"/>
          <w:color w:val="212121"/>
          <w:sz w:val="24"/>
          <w:szCs w:val="24"/>
          <w:shd w:val="clear" w:color="auto" w:fill="FFFFFF"/>
        </w:rPr>
        <w:t> Black students who perceived the campus as more welcoming to first-generation reported higher positive mental health. Black students who perceived the campus as more welcoming to racial minorities, lesbian, gay, bisexual (LGB), and low socioeconomic status (SES) students reported lower levels of depression and anxiety. </w:t>
      </w:r>
      <w:r w:rsidRPr="00CB63BC">
        <w:rPr>
          <w:rFonts w:ascii="Arial" w:hAnsi="Arial" w:cs="Arial"/>
          <w:b/>
          <w:bCs/>
          <w:color w:val="212121"/>
          <w:sz w:val="24"/>
          <w:szCs w:val="24"/>
          <w:shd w:val="clear" w:color="auto" w:fill="FFFFFF"/>
        </w:rPr>
        <w:t>Conclusions:</w:t>
      </w:r>
      <w:r w:rsidRPr="00CB63BC">
        <w:rPr>
          <w:rFonts w:ascii="Arial" w:hAnsi="Arial" w:cs="Arial"/>
          <w:color w:val="212121"/>
          <w:sz w:val="24"/>
          <w:szCs w:val="24"/>
          <w:shd w:val="clear" w:color="auto" w:fill="FFFFFF"/>
        </w:rPr>
        <w:t xml:space="preserve"> Black students' perceptions of the </w:t>
      </w:r>
      <w:r w:rsidRPr="00CB63BC">
        <w:rPr>
          <w:rFonts w:ascii="Arial" w:hAnsi="Arial" w:cs="Arial"/>
          <w:color w:val="212121"/>
          <w:sz w:val="24"/>
          <w:szCs w:val="24"/>
          <w:shd w:val="clear" w:color="auto" w:fill="FFFFFF"/>
        </w:rPr>
        <w:lastRenderedPageBreak/>
        <w:t xml:space="preserve">institutional diversity climate for other groups influences their mental health </w:t>
      </w:r>
      <w:proofErr w:type="gramStart"/>
      <w:r w:rsidRPr="00CB63BC">
        <w:rPr>
          <w:rFonts w:ascii="Arial" w:hAnsi="Arial" w:cs="Arial"/>
          <w:color w:val="212121"/>
          <w:sz w:val="24"/>
          <w:szCs w:val="24"/>
          <w:shd w:val="clear" w:color="auto" w:fill="FFFFFF"/>
        </w:rPr>
        <w:t>outcomes, and</w:t>
      </w:r>
      <w:proofErr w:type="gramEnd"/>
      <w:r w:rsidRPr="00CB63BC">
        <w:rPr>
          <w:rFonts w:ascii="Arial" w:hAnsi="Arial" w:cs="Arial"/>
          <w:color w:val="212121"/>
          <w:sz w:val="24"/>
          <w:szCs w:val="24"/>
          <w:shd w:val="clear" w:color="auto" w:fill="FFFFFF"/>
        </w:rPr>
        <w:t xml:space="preserve"> underscores the need for more research on individual-level differences in students' mental health processes.</w:t>
      </w:r>
    </w:p>
    <w:p w14:paraId="408BF512" w14:textId="77777777" w:rsidR="000A1C36" w:rsidRPr="00CB63BC" w:rsidRDefault="000A1C36" w:rsidP="00CB63BC">
      <w:pPr>
        <w:spacing w:line="360" w:lineRule="auto"/>
        <w:rPr>
          <w:rFonts w:ascii="Arial" w:eastAsia="Times New Roman" w:hAnsi="Arial" w:cs="Arial"/>
          <w:color w:val="000000"/>
          <w:sz w:val="24"/>
          <w:szCs w:val="24"/>
        </w:rPr>
      </w:pPr>
    </w:p>
    <w:p w14:paraId="18B6271A" w14:textId="77777777" w:rsidR="000A1C36" w:rsidRPr="00CB63BC" w:rsidRDefault="000A1C36" w:rsidP="00CB63BC">
      <w:pPr>
        <w:spacing w:line="360" w:lineRule="auto"/>
        <w:ind w:hanging="240"/>
        <w:rPr>
          <w:rFonts w:ascii="Arial" w:eastAsia="Times New Roman" w:hAnsi="Arial" w:cs="Arial"/>
          <w:sz w:val="24"/>
          <w:szCs w:val="24"/>
        </w:rPr>
      </w:pPr>
      <w:r w:rsidRPr="00CB63BC">
        <w:rPr>
          <w:rStyle w:val="xxcsl-entry"/>
          <w:rFonts w:ascii="Arial" w:eastAsia="Times New Roman" w:hAnsi="Arial" w:cs="Arial"/>
          <w:sz w:val="24"/>
          <w:szCs w:val="24"/>
        </w:rPr>
        <w:t xml:space="preserve">Samra, R., </w:t>
      </w:r>
      <w:proofErr w:type="spellStart"/>
      <w:r w:rsidRPr="00CB63BC">
        <w:rPr>
          <w:rStyle w:val="xxcsl-entry"/>
          <w:rFonts w:ascii="Arial" w:eastAsia="Times New Roman" w:hAnsi="Arial" w:cs="Arial"/>
          <w:sz w:val="24"/>
          <w:szCs w:val="24"/>
        </w:rPr>
        <w:t>França</w:t>
      </w:r>
      <w:proofErr w:type="spellEnd"/>
      <w:r w:rsidRPr="00CB63BC">
        <w:rPr>
          <w:rStyle w:val="xxcsl-entry"/>
          <w:rFonts w:ascii="Arial" w:eastAsia="Times New Roman" w:hAnsi="Arial" w:cs="Arial"/>
          <w:sz w:val="24"/>
          <w:szCs w:val="24"/>
        </w:rPr>
        <w:t xml:space="preserve">, A. B., Lucassen, M. F. G., &amp; Waterhouse, P. (2023). A network approach to understanding distance learners’ experience of stress and mental distress whilst studying. </w:t>
      </w:r>
      <w:r w:rsidRPr="00CB63BC">
        <w:rPr>
          <w:rStyle w:val="xxcsl-entry"/>
          <w:rFonts w:ascii="Arial" w:eastAsia="Times New Roman" w:hAnsi="Arial" w:cs="Arial"/>
          <w:i/>
          <w:iCs/>
          <w:sz w:val="24"/>
          <w:szCs w:val="24"/>
        </w:rPr>
        <w:t>International Journal of Educational Technology in Higher Education</w:t>
      </w:r>
      <w:r w:rsidRPr="00CB63BC">
        <w:rPr>
          <w:rStyle w:val="xxcsl-entry"/>
          <w:rFonts w:ascii="Arial" w:eastAsia="Times New Roman" w:hAnsi="Arial" w:cs="Arial"/>
          <w:sz w:val="24"/>
          <w:szCs w:val="24"/>
        </w:rPr>
        <w:t xml:space="preserve">, </w:t>
      </w:r>
      <w:r w:rsidRPr="00CB63BC">
        <w:rPr>
          <w:rStyle w:val="xxcsl-entry"/>
          <w:rFonts w:ascii="Arial" w:eastAsia="Times New Roman" w:hAnsi="Arial" w:cs="Arial"/>
          <w:i/>
          <w:iCs/>
          <w:sz w:val="24"/>
          <w:szCs w:val="24"/>
        </w:rPr>
        <w:t>20</w:t>
      </w:r>
      <w:r w:rsidRPr="00CB63BC">
        <w:rPr>
          <w:rStyle w:val="xxcsl-entry"/>
          <w:rFonts w:ascii="Arial" w:eastAsia="Times New Roman" w:hAnsi="Arial" w:cs="Arial"/>
          <w:sz w:val="24"/>
          <w:szCs w:val="24"/>
        </w:rPr>
        <w:t xml:space="preserve">(1), 27. </w:t>
      </w:r>
      <w:hyperlink r:id="rId11" w:history="1">
        <w:r w:rsidRPr="00CB63BC">
          <w:rPr>
            <w:rStyle w:val="Hyperlink"/>
            <w:rFonts w:ascii="Arial" w:eastAsia="Times New Roman" w:hAnsi="Arial" w:cs="Arial"/>
            <w:sz w:val="24"/>
            <w:szCs w:val="24"/>
          </w:rPr>
          <w:t>https://doi.org/10.1186/s41239-023-00397-3</w:t>
        </w:r>
      </w:hyperlink>
    </w:p>
    <w:p w14:paraId="1F06CCC4" w14:textId="77777777" w:rsidR="000A1C36" w:rsidRPr="00CB63BC" w:rsidRDefault="000A1C36" w:rsidP="00CB63BC">
      <w:pPr>
        <w:spacing w:line="360" w:lineRule="auto"/>
        <w:ind w:hanging="240"/>
        <w:rPr>
          <w:rStyle w:val="xxcontentpasted2"/>
          <w:rFonts w:ascii="Arial" w:eastAsia="Times New Roman" w:hAnsi="Arial" w:cs="Arial"/>
          <w:color w:val="595959"/>
          <w:sz w:val="24"/>
          <w:szCs w:val="24"/>
        </w:rPr>
      </w:pPr>
      <w:r w:rsidRPr="00CB63BC">
        <w:rPr>
          <w:rStyle w:val="xxcontentpasted2"/>
          <w:rFonts w:ascii="Arial" w:eastAsia="Times New Roman" w:hAnsi="Arial" w:cs="Arial"/>
          <w:color w:val="595959"/>
          <w:sz w:val="24"/>
          <w:szCs w:val="24"/>
        </w:rPr>
        <w:t xml:space="preserve">Research has shown that learners' stress and mental distress are linked to poorer academic outcomes. A better understanding of stress and mental distress experiences during study could foster more nuanced course and intervention design which additionally teaches learners how to navigate through to protect their academic performance. The current study draws on data collected via validated self-reported questionnaires completed by final year undergraduate students (n = 318) at a large distance education university. We examined how common features of stress, </w:t>
      </w:r>
      <w:proofErr w:type="gramStart"/>
      <w:r w:rsidRPr="00CB63BC">
        <w:rPr>
          <w:rStyle w:val="xxcontentpasted2"/>
          <w:rFonts w:ascii="Arial" w:eastAsia="Times New Roman" w:hAnsi="Arial" w:cs="Arial"/>
          <w:color w:val="595959"/>
          <w:sz w:val="24"/>
          <w:szCs w:val="24"/>
        </w:rPr>
        <w:t>depression</w:t>
      </w:r>
      <w:proofErr w:type="gramEnd"/>
      <w:r w:rsidRPr="00CB63BC">
        <w:rPr>
          <w:rStyle w:val="xxcontentpasted2"/>
          <w:rFonts w:ascii="Arial" w:eastAsia="Times New Roman" w:hAnsi="Arial" w:cs="Arial"/>
          <w:color w:val="595959"/>
          <w:sz w:val="24"/>
          <w:szCs w:val="24"/>
        </w:rPr>
        <w:t xml:space="preserve"> and anxiety link to each other using a network analysis of reported symptoms. The results included findings demonstrating the symptoms with the greatest relative importance to the network. Specifically, these included the stress symptom 'I found it difficult to relax' and the depression symptom 'I was unable to become enthusiastic about anything'. The findings could help institutions design interventions that directly correspond to common features of students' stress and distress experiences.</w:t>
      </w:r>
    </w:p>
    <w:p w14:paraId="6B41EB1D" w14:textId="77777777" w:rsidR="001475A4" w:rsidRPr="00CB63BC" w:rsidRDefault="001475A4" w:rsidP="00C07C1D">
      <w:pPr>
        <w:spacing w:line="360" w:lineRule="auto"/>
        <w:rPr>
          <w:rStyle w:val="xxcontentpasted2"/>
          <w:rFonts w:ascii="Arial" w:eastAsia="Times New Roman" w:hAnsi="Arial" w:cs="Arial"/>
          <w:color w:val="595959"/>
          <w:sz w:val="24"/>
          <w:szCs w:val="24"/>
        </w:rPr>
      </w:pPr>
    </w:p>
    <w:p w14:paraId="2A556956" w14:textId="77777777" w:rsidR="001475A4" w:rsidRPr="00CB63BC" w:rsidRDefault="001475A4" w:rsidP="00CB63BC">
      <w:pPr>
        <w:spacing w:after="0" w:line="360" w:lineRule="auto"/>
        <w:ind w:hanging="240"/>
        <w:rPr>
          <w:rFonts w:ascii="Arial" w:eastAsia="Times New Roman" w:hAnsi="Arial" w:cs="Arial"/>
          <w:sz w:val="24"/>
          <w:szCs w:val="24"/>
          <w:lang w:eastAsia="en-GB"/>
        </w:rPr>
      </w:pPr>
      <w:r w:rsidRPr="00CB63BC">
        <w:rPr>
          <w:rFonts w:ascii="Arial" w:eastAsia="Times New Roman" w:hAnsi="Arial" w:cs="Arial"/>
          <w:sz w:val="24"/>
          <w:szCs w:val="24"/>
          <w:lang w:eastAsia="en-GB"/>
        </w:rPr>
        <w:t xml:space="preserve">Slaughter, L., Sie, L., </w:t>
      </w:r>
      <w:proofErr w:type="spellStart"/>
      <w:r w:rsidRPr="00CB63BC">
        <w:rPr>
          <w:rFonts w:ascii="Arial" w:eastAsia="Times New Roman" w:hAnsi="Arial" w:cs="Arial"/>
          <w:sz w:val="24"/>
          <w:szCs w:val="24"/>
          <w:lang w:eastAsia="en-GB"/>
        </w:rPr>
        <w:t>Breakey</w:t>
      </w:r>
      <w:proofErr w:type="spellEnd"/>
      <w:r w:rsidRPr="00CB63BC">
        <w:rPr>
          <w:rFonts w:ascii="Arial" w:eastAsia="Times New Roman" w:hAnsi="Arial" w:cs="Arial"/>
          <w:sz w:val="24"/>
          <w:szCs w:val="24"/>
          <w:lang w:eastAsia="en-GB"/>
        </w:rPr>
        <w:t xml:space="preserve">, N., Macionis, N., &amp; Zhang, J. (2023). Can we buffer them? Supporting healthy levels of stress and anxiety in first year international students. </w:t>
      </w:r>
      <w:r w:rsidRPr="00CB63BC">
        <w:rPr>
          <w:rFonts w:ascii="Arial" w:eastAsia="Times New Roman" w:hAnsi="Arial" w:cs="Arial"/>
          <w:i/>
          <w:iCs/>
          <w:sz w:val="24"/>
          <w:szCs w:val="24"/>
          <w:lang w:eastAsia="en-GB"/>
        </w:rPr>
        <w:t>Journal of Hospitality, Leisure, Sport &amp; Tourism Education</w:t>
      </w:r>
      <w:r w:rsidRPr="00CB63BC">
        <w:rPr>
          <w:rFonts w:ascii="Arial" w:eastAsia="Times New Roman" w:hAnsi="Arial" w:cs="Arial"/>
          <w:sz w:val="24"/>
          <w:szCs w:val="24"/>
          <w:lang w:eastAsia="en-GB"/>
        </w:rPr>
        <w:t xml:space="preserve">, </w:t>
      </w:r>
      <w:r w:rsidRPr="00CB63BC">
        <w:rPr>
          <w:rFonts w:ascii="Arial" w:eastAsia="Times New Roman" w:hAnsi="Arial" w:cs="Arial"/>
          <w:i/>
          <w:iCs/>
          <w:sz w:val="24"/>
          <w:szCs w:val="24"/>
          <w:lang w:eastAsia="en-GB"/>
        </w:rPr>
        <w:t>32</w:t>
      </w:r>
      <w:r w:rsidRPr="00CB63BC">
        <w:rPr>
          <w:rFonts w:ascii="Arial" w:eastAsia="Times New Roman" w:hAnsi="Arial" w:cs="Arial"/>
          <w:sz w:val="24"/>
          <w:szCs w:val="24"/>
          <w:lang w:eastAsia="en-GB"/>
        </w:rPr>
        <w:t>, 100438. https://doi.org/10.1016/j.jhlste.2023.100438</w:t>
      </w:r>
    </w:p>
    <w:p w14:paraId="3850F038" w14:textId="2DE07621" w:rsidR="001475A4" w:rsidRPr="00CB63BC" w:rsidRDefault="001475A4" w:rsidP="00CB63BC">
      <w:pPr>
        <w:spacing w:line="360" w:lineRule="auto"/>
        <w:ind w:hanging="240"/>
        <w:rPr>
          <w:rStyle w:val="xxcontentpasted2"/>
          <w:rFonts w:ascii="Arial" w:eastAsia="Times New Roman" w:hAnsi="Arial" w:cs="Arial"/>
          <w:color w:val="595959"/>
          <w:sz w:val="24"/>
          <w:szCs w:val="24"/>
        </w:rPr>
      </w:pPr>
      <w:r w:rsidRPr="00CB63BC">
        <w:rPr>
          <w:rStyle w:val="xxcontentpasted2"/>
          <w:rFonts w:ascii="Arial" w:eastAsia="Times New Roman" w:hAnsi="Arial" w:cs="Arial"/>
          <w:color w:val="595959"/>
          <w:sz w:val="24"/>
          <w:szCs w:val="24"/>
        </w:rPr>
        <w:t xml:space="preserve">Abstract: </w:t>
      </w:r>
      <w:r w:rsidRPr="00CB63BC">
        <w:rPr>
          <w:rFonts w:ascii="Arial" w:hAnsi="Arial" w:cs="Arial"/>
          <w:color w:val="111111"/>
          <w:sz w:val="24"/>
          <w:szCs w:val="24"/>
          <w:shd w:val="clear" w:color="auto" w:fill="FAFAFA"/>
        </w:rPr>
        <w:t xml:space="preserve">First-year international tertiary students face numerous challenges, with the COVID-19 pandemic shifting many to online learning. These challenges can lead to higher than ideal stress and anxiety, negatively impacting mental health. Applying a ‘writing across curriculum’ approach this study examines whether a ‘writing in discipline’ intervention influences stress/anxiety for such students studying Tourism, </w:t>
      </w:r>
      <w:r w:rsidRPr="00CB63BC">
        <w:rPr>
          <w:rFonts w:ascii="Arial" w:hAnsi="Arial" w:cs="Arial"/>
          <w:color w:val="111111"/>
          <w:sz w:val="24"/>
          <w:szCs w:val="24"/>
          <w:shd w:val="clear" w:color="auto" w:fill="FAFAFA"/>
        </w:rPr>
        <w:lastRenderedPageBreak/>
        <w:t xml:space="preserve">Hospitality and Events in Australia. A modified DASS was administered to four cohorts during 2020 and 2021, and pre-post-tests conducted. The intervention helped buffer significant increases in stress, promoted skill development, and enhanced academic confidence. This scaffolded-learning approach is applicable at course/subject, degree, and university </w:t>
      </w:r>
      <w:proofErr w:type="gramStart"/>
      <w:r w:rsidRPr="00CB63BC">
        <w:rPr>
          <w:rFonts w:ascii="Arial" w:hAnsi="Arial" w:cs="Arial"/>
          <w:color w:val="111111"/>
          <w:sz w:val="24"/>
          <w:szCs w:val="24"/>
          <w:shd w:val="clear" w:color="auto" w:fill="FAFAFA"/>
        </w:rPr>
        <w:t>levels</w:t>
      </w:r>
      <w:proofErr w:type="gramEnd"/>
    </w:p>
    <w:p w14:paraId="689B22F8" w14:textId="77777777" w:rsidR="00DF73F0" w:rsidRPr="00CB63BC" w:rsidRDefault="00DF73F0" w:rsidP="00CB63BC">
      <w:pPr>
        <w:spacing w:after="0" w:line="360" w:lineRule="auto"/>
        <w:rPr>
          <w:rFonts w:ascii="Arial" w:eastAsia="Times New Roman" w:hAnsi="Arial" w:cs="Arial"/>
          <w:sz w:val="24"/>
          <w:szCs w:val="24"/>
          <w:lang w:eastAsia="en-GB"/>
        </w:rPr>
      </w:pPr>
    </w:p>
    <w:p w14:paraId="4931FBED" w14:textId="5FDBFF4C" w:rsidR="00CB2E1E" w:rsidRPr="00CB63BC" w:rsidRDefault="00CB2E1E" w:rsidP="00CB63BC">
      <w:pPr>
        <w:spacing w:after="0" w:line="360" w:lineRule="auto"/>
        <w:ind w:hanging="240"/>
        <w:rPr>
          <w:rFonts w:ascii="Arial" w:eastAsia="Times New Roman" w:hAnsi="Arial" w:cs="Arial"/>
          <w:sz w:val="24"/>
          <w:szCs w:val="24"/>
          <w:lang w:eastAsia="en-GB"/>
        </w:rPr>
      </w:pPr>
      <w:r w:rsidRPr="00CB63BC">
        <w:rPr>
          <w:rFonts w:ascii="Arial" w:eastAsia="Times New Roman" w:hAnsi="Arial" w:cs="Arial"/>
          <w:sz w:val="24"/>
          <w:szCs w:val="24"/>
          <w:lang w:eastAsia="en-GB"/>
        </w:rPr>
        <w:t xml:space="preserve">Van Beveren, L., Rutten, K., </w:t>
      </w:r>
      <w:proofErr w:type="spellStart"/>
      <w:r w:rsidRPr="00CB63BC">
        <w:rPr>
          <w:rFonts w:ascii="Arial" w:eastAsia="Times New Roman" w:hAnsi="Arial" w:cs="Arial"/>
          <w:sz w:val="24"/>
          <w:szCs w:val="24"/>
          <w:lang w:eastAsia="en-GB"/>
        </w:rPr>
        <w:t>Roets</w:t>
      </w:r>
      <w:proofErr w:type="spellEnd"/>
      <w:r w:rsidRPr="00CB63BC">
        <w:rPr>
          <w:rFonts w:ascii="Arial" w:eastAsia="Times New Roman" w:hAnsi="Arial" w:cs="Arial"/>
          <w:sz w:val="24"/>
          <w:szCs w:val="24"/>
          <w:lang w:eastAsia="en-GB"/>
        </w:rPr>
        <w:t xml:space="preserve">, G., &amp; </w:t>
      </w:r>
      <w:proofErr w:type="spellStart"/>
      <w:r w:rsidRPr="00CB63BC">
        <w:rPr>
          <w:rFonts w:ascii="Arial" w:eastAsia="Times New Roman" w:hAnsi="Arial" w:cs="Arial"/>
          <w:sz w:val="24"/>
          <w:szCs w:val="24"/>
          <w:lang w:eastAsia="en-GB"/>
        </w:rPr>
        <w:t>Buysse</w:t>
      </w:r>
      <w:proofErr w:type="spellEnd"/>
      <w:r w:rsidRPr="00CB63BC">
        <w:rPr>
          <w:rFonts w:ascii="Arial" w:eastAsia="Times New Roman" w:hAnsi="Arial" w:cs="Arial"/>
          <w:sz w:val="24"/>
          <w:szCs w:val="24"/>
          <w:lang w:eastAsia="en-GB"/>
        </w:rPr>
        <w:t xml:space="preserve">, A. (2023). Critical cultural disability studies and mental health: a rhetorical perspective. </w:t>
      </w:r>
      <w:r w:rsidRPr="00CB63BC">
        <w:rPr>
          <w:rFonts w:ascii="Arial" w:eastAsia="Times New Roman" w:hAnsi="Arial" w:cs="Arial"/>
          <w:i/>
          <w:iCs/>
          <w:sz w:val="24"/>
          <w:szCs w:val="24"/>
          <w:lang w:eastAsia="en-GB"/>
        </w:rPr>
        <w:t>Disability &amp; Society</w:t>
      </w:r>
      <w:r w:rsidRPr="00CB63BC">
        <w:rPr>
          <w:rFonts w:ascii="Arial" w:eastAsia="Times New Roman" w:hAnsi="Arial" w:cs="Arial"/>
          <w:sz w:val="24"/>
          <w:szCs w:val="24"/>
          <w:lang w:eastAsia="en-GB"/>
        </w:rPr>
        <w:t xml:space="preserve">, </w:t>
      </w:r>
      <w:r w:rsidRPr="00CB63BC">
        <w:rPr>
          <w:rFonts w:ascii="Arial" w:eastAsia="Times New Roman" w:hAnsi="Arial" w:cs="Arial"/>
          <w:i/>
          <w:iCs/>
          <w:sz w:val="24"/>
          <w:szCs w:val="24"/>
          <w:lang w:eastAsia="en-GB"/>
        </w:rPr>
        <w:t>38</w:t>
      </w:r>
      <w:r w:rsidRPr="00CB63BC">
        <w:rPr>
          <w:rFonts w:ascii="Arial" w:eastAsia="Times New Roman" w:hAnsi="Arial" w:cs="Arial"/>
          <w:sz w:val="24"/>
          <w:szCs w:val="24"/>
          <w:lang w:eastAsia="en-GB"/>
        </w:rPr>
        <w:t xml:space="preserve">(2), 342–361. </w:t>
      </w:r>
      <w:hyperlink r:id="rId12" w:history="1">
        <w:r w:rsidR="000A1C36" w:rsidRPr="00CB63BC">
          <w:rPr>
            <w:rStyle w:val="Hyperlink"/>
            <w:rFonts w:ascii="Arial" w:eastAsia="Times New Roman" w:hAnsi="Arial" w:cs="Arial"/>
            <w:sz w:val="24"/>
            <w:szCs w:val="24"/>
            <w:lang w:eastAsia="en-GB"/>
          </w:rPr>
          <w:t>https://doi.org/10.1080/09687599.2021.1918539</w:t>
        </w:r>
      </w:hyperlink>
      <w:r w:rsidR="000A1C36" w:rsidRPr="00CB63BC">
        <w:rPr>
          <w:rFonts w:ascii="Arial" w:eastAsia="Times New Roman" w:hAnsi="Arial" w:cs="Arial"/>
          <w:sz w:val="24"/>
          <w:szCs w:val="24"/>
          <w:lang w:eastAsia="en-GB"/>
        </w:rPr>
        <w:br/>
        <w:t xml:space="preserve">Abstract: </w:t>
      </w:r>
    </w:p>
    <w:p w14:paraId="772FFE5A" w14:textId="10509F48" w:rsidR="00A1760C" w:rsidRPr="00C07C1D" w:rsidRDefault="00CB2E1E" w:rsidP="00C07C1D">
      <w:pPr>
        <w:spacing w:after="0" w:line="360" w:lineRule="auto"/>
        <w:ind w:hanging="240"/>
        <w:rPr>
          <w:rStyle w:val="Hyperlink"/>
          <w:rFonts w:ascii="Arial" w:eastAsia="Times New Roman" w:hAnsi="Arial" w:cs="Arial"/>
          <w:color w:val="auto"/>
          <w:sz w:val="24"/>
          <w:szCs w:val="24"/>
          <w:u w:val="none"/>
          <w:lang w:eastAsia="en-GB"/>
        </w:rPr>
      </w:pPr>
      <w:r w:rsidRPr="00CB63BC">
        <w:rPr>
          <w:rFonts w:ascii="Arial" w:eastAsia="Times New Roman" w:hAnsi="Arial" w:cs="Arial"/>
          <w:sz w:val="24"/>
          <w:szCs w:val="24"/>
          <w:lang w:eastAsia="en-GB"/>
        </w:rPr>
        <w:t>This paper examines how an intersection of critical cultural disability studies and rhetorical studies can inform a critical education on ‘mental health (problems)’ for psychology students. Building on cultural theories of disability/impairment, a conception of ‘mental health (problems)’ as culturally constituted is introduced. We propose the rhetorical perspective as a particularly relevant analytical and pedagogical approach to enable students to critically reflect on the cultural assumptions underpinning various (professional) understandings of ‘mental health (problems)’. Our contribution is based on a research project in which clinical psychology students rhetorically analysed cultural constructions of ‘mental health (problems)’ in a graphic novel on ‘bipolar disorder’. Based on a qualitative analysis of students’ reflective reports, we argue that rhetorical perspectives enable students to develop reflexive stances towards the different cultural logics, and the ethical and political ramifications of these logics, in which psychological practice and knowledge on ‘mental health (problems)’ are inevitably embedded.</w:t>
      </w:r>
    </w:p>
    <w:p w14:paraId="65F5141D" w14:textId="77777777" w:rsidR="00A1760C" w:rsidRPr="00CB63BC" w:rsidRDefault="00A1760C" w:rsidP="00CB63BC">
      <w:pPr>
        <w:pStyle w:val="PlainText"/>
        <w:spacing w:line="360" w:lineRule="auto"/>
        <w:rPr>
          <w:rStyle w:val="Hyperlink"/>
          <w:rFonts w:ascii="Arial" w:hAnsi="Arial" w:cs="Arial"/>
          <w:sz w:val="24"/>
          <w:szCs w:val="24"/>
        </w:rPr>
      </w:pPr>
    </w:p>
    <w:p w14:paraId="40BE2C1D" w14:textId="77777777" w:rsidR="00644E14" w:rsidRPr="00CB63BC" w:rsidRDefault="00644E14" w:rsidP="00CB63BC">
      <w:pPr>
        <w:spacing w:after="0" w:line="360" w:lineRule="auto"/>
        <w:ind w:hanging="240"/>
        <w:rPr>
          <w:rFonts w:ascii="Arial" w:eastAsia="Times New Roman" w:hAnsi="Arial" w:cs="Arial"/>
          <w:sz w:val="24"/>
          <w:szCs w:val="24"/>
          <w:lang w:eastAsia="en-GB"/>
        </w:rPr>
      </w:pPr>
      <w:r w:rsidRPr="00CB63BC">
        <w:rPr>
          <w:rFonts w:ascii="Arial" w:eastAsia="Times New Roman" w:hAnsi="Arial" w:cs="Arial"/>
          <w:sz w:val="24"/>
          <w:szCs w:val="24"/>
          <w:lang w:eastAsia="en-GB"/>
        </w:rPr>
        <w:t xml:space="preserve">Williams, K. D. A., Adkins, A., Kuo, S. I., LaRose, J. G., </w:t>
      </w:r>
      <w:proofErr w:type="spellStart"/>
      <w:r w:rsidRPr="00CB63BC">
        <w:rPr>
          <w:rFonts w:ascii="Arial" w:eastAsia="Times New Roman" w:hAnsi="Arial" w:cs="Arial"/>
          <w:sz w:val="24"/>
          <w:szCs w:val="24"/>
          <w:lang w:eastAsia="en-GB"/>
        </w:rPr>
        <w:t>Utsey</w:t>
      </w:r>
      <w:proofErr w:type="spellEnd"/>
      <w:r w:rsidRPr="00CB63BC">
        <w:rPr>
          <w:rFonts w:ascii="Arial" w:eastAsia="Times New Roman" w:hAnsi="Arial" w:cs="Arial"/>
          <w:sz w:val="24"/>
          <w:szCs w:val="24"/>
          <w:lang w:eastAsia="en-GB"/>
        </w:rPr>
        <w:t xml:space="preserve">, S. O., Guidry, J. P. D., Spit for Science Working Group, Dick, D., &amp; Carlyle, K. E. (2023). Mental health disorder symptom prevalence and rates of help-seeking among University-Enrolled, emerging adults. </w:t>
      </w:r>
      <w:r w:rsidRPr="00CB63BC">
        <w:rPr>
          <w:rFonts w:ascii="Arial" w:eastAsia="Times New Roman" w:hAnsi="Arial" w:cs="Arial"/>
          <w:i/>
          <w:iCs/>
          <w:sz w:val="24"/>
          <w:szCs w:val="24"/>
          <w:lang w:eastAsia="en-GB"/>
        </w:rPr>
        <w:t>Journal of American College Health</w:t>
      </w:r>
      <w:r w:rsidRPr="00CB63BC">
        <w:rPr>
          <w:rFonts w:ascii="Arial" w:eastAsia="Times New Roman" w:hAnsi="Arial" w:cs="Arial"/>
          <w:sz w:val="24"/>
          <w:szCs w:val="24"/>
          <w:lang w:eastAsia="en-GB"/>
        </w:rPr>
        <w:t xml:space="preserve">, </w:t>
      </w:r>
      <w:r w:rsidRPr="00CB63BC">
        <w:rPr>
          <w:rFonts w:ascii="Arial" w:eastAsia="Times New Roman" w:hAnsi="Arial" w:cs="Arial"/>
          <w:i/>
          <w:iCs/>
          <w:sz w:val="24"/>
          <w:szCs w:val="24"/>
          <w:lang w:eastAsia="en-GB"/>
        </w:rPr>
        <w:t>71</w:t>
      </w:r>
      <w:r w:rsidRPr="00CB63BC">
        <w:rPr>
          <w:rFonts w:ascii="Arial" w:eastAsia="Times New Roman" w:hAnsi="Arial" w:cs="Arial"/>
          <w:sz w:val="24"/>
          <w:szCs w:val="24"/>
          <w:lang w:eastAsia="en-GB"/>
        </w:rPr>
        <w:t>(1), 61–68. https://doi.org/10.1080/07448481.2021.1873791</w:t>
      </w:r>
    </w:p>
    <w:p w14:paraId="2F903CBB" w14:textId="773390E5" w:rsidR="00644E14" w:rsidRPr="00CB63BC" w:rsidRDefault="00644E14" w:rsidP="00CB63BC">
      <w:pPr>
        <w:pStyle w:val="PlainText"/>
        <w:spacing w:line="360" w:lineRule="auto"/>
        <w:rPr>
          <w:rFonts w:ascii="Arial" w:hAnsi="Arial" w:cs="Arial"/>
          <w:sz w:val="24"/>
          <w:szCs w:val="24"/>
        </w:rPr>
      </w:pPr>
      <w:r w:rsidRPr="00CB63BC">
        <w:rPr>
          <w:rFonts w:ascii="Arial" w:hAnsi="Arial" w:cs="Arial"/>
          <w:b/>
          <w:bCs/>
          <w:color w:val="212121"/>
          <w:sz w:val="24"/>
          <w:szCs w:val="24"/>
          <w:shd w:val="clear" w:color="auto" w:fill="FFFFFF"/>
        </w:rPr>
        <w:t>Objective.</w:t>
      </w:r>
      <w:r w:rsidRPr="00CB63BC">
        <w:rPr>
          <w:rFonts w:ascii="Arial" w:hAnsi="Arial" w:cs="Arial"/>
          <w:color w:val="212121"/>
          <w:sz w:val="24"/>
          <w:szCs w:val="24"/>
          <w:shd w:val="clear" w:color="auto" w:fill="FFFFFF"/>
        </w:rPr>
        <w:t> Examine mental health symptom prevalence and rates of campus services utilization among Black male, White male and Black female college students. </w:t>
      </w:r>
      <w:r w:rsidRPr="00CB63BC">
        <w:rPr>
          <w:rFonts w:ascii="Arial" w:hAnsi="Arial" w:cs="Arial"/>
          <w:b/>
          <w:bCs/>
          <w:color w:val="212121"/>
          <w:sz w:val="24"/>
          <w:szCs w:val="24"/>
          <w:shd w:val="clear" w:color="auto" w:fill="FFFFFF"/>
        </w:rPr>
        <w:t>Participants.</w:t>
      </w:r>
      <w:r w:rsidRPr="00CB63BC">
        <w:rPr>
          <w:rFonts w:ascii="Arial" w:hAnsi="Arial" w:cs="Arial"/>
          <w:color w:val="212121"/>
          <w:sz w:val="24"/>
          <w:szCs w:val="24"/>
          <w:shd w:val="clear" w:color="auto" w:fill="FFFFFF"/>
        </w:rPr>
        <w:t xml:space="preserve"> 2500 students from an ongoing, student survey at a public </w:t>
      </w:r>
      <w:r w:rsidRPr="00CB63BC">
        <w:rPr>
          <w:rFonts w:ascii="Arial" w:hAnsi="Arial" w:cs="Arial"/>
          <w:color w:val="212121"/>
          <w:sz w:val="24"/>
          <w:szCs w:val="24"/>
          <w:shd w:val="clear" w:color="auto" w:fill="FFFFFF"/>
        </w:rPr>
        <w:lastRenderedPageBreak/>
        <w:t>university; launched in 2011. </w:t>
      </w:r>
      <w:r w:rsidRPr="00CB63BC">
        <w:rPr>
          <w:rFonts w:ascii="Arial" w:hAnsi="Arial" w:cs="Arial"/>
          <w:b/>
          <w:bCs/>
          <w:color w:val="212121"/>
          <w:sz w:val="24"/>
          <w:szCs w:val="24"/>
          <w:shd w:val="clear" w:color="auto" w:fill="FFFFFF"/>
        </w:rPr>
        <w:t>Methods.</w:t>
      </w:r>
      <w:r w:rsidRPr="00CB63BC">
        <w:rPr>
          <w:rFonts w:ascii="Arial" w:hAnsi="Arial" w:cs="Arial"/>
          <w:color w:val="212121"/>
          <w:sz w:val="24"/>
          <w:szCs w:val="24"/>
          <w:shd w:val="clear" w:color="auto" w:fill="FFFFFF"/>
        </w:rPr>
        <w:t> Measures included data for anxiety and depressive symptoms and utilization of campus health services (</w:t>
      </w:r>
      <w:proofErr w:type="spellStart"/>
      <w:r w:rsidRPr="00CB63BC">
        <w:rPr>
          <w:rFonts w:ascii="Arial" w:hAnsi="Arial" w:cs="Arial"/>
          <w:color w:val="212121"/>
          <w:sz w:val="24"/>
          <w:szCs w:val="24"/>
          <w:shd w:val="clear" w:color="auto" w:fill="FFFFFF"/>
        </w:rPr>
        <w:t>counseling</w:t>
      </w:r>
      <w:proofErr w:type="spellEnd"/>
      <w:r w:rsidRPr="00CB63BC">
        <w:rPr>
          <w:rFonts w:ascii="Arial" w:hAnsi="Arial" w:cs="Arial"/>
          <w:color w:val="212121"/>
          <w:sz w:val="24"/>
          <w:szCs w:val="24"/>
          <w:shd w:val="clear" w:color="auto" w:fill="FFFFFF"/>
        </w:rPr>
        <w:t xml:space="preserve"> </w:t>
      </w:r>
      <w:proofErr w:type="spellStart"/>
      <w:r w:rsidRPr="00CB63BC">
        <w:rPr>
          <w:rFonts w:ascii="Arial" w:hAnsi="Arial" w:cs="Arial"/>
          <w:color w:val="212121"/>
          <w:sz w:val="24"/>
          <w:szCs w:val="24"/>
          <w:shd w:val="clear" w:color="auto" w:fill="FFFFFF"/>
        </w:rPr>
        <w:t>center</w:t>
      </w:r>
      <w:proofErr w:type="spellEnd"/>
      <w:r w:rsidRPr="00CB63BC">
        <w:rPr>
          <w:rFonts w:ascii="Arial" w:hAnsi="Arial" w:cs="Arial"/>
          <w:color w:val="212121"/>
          <w:sz w:val="24"/>
          <w:szCs w:val="24"/>
          <w:shd w:val="clear" w:color="auto" w:fill="FFFFFF"/>
        </w:rPr>
        <w:t>, health services, etc.). Descriptive analyses determined prevalence and utilization rates. Mann Whitney U tests compared prevalence. Chi-squared tests compared utilization rates. </w:t>
      </w:r>
      <w:r w:rsidRPr="00CB63BC">
        <w:rPr>
          <w:rFonts w:ascii="Arial" w:hAnsi="Arial" w:cs="Arial"/>
          <w:b/>
          <w:bCs/>
          <w:color w:val="212121"/>
          <w:sz w:val="24"/>
          <w:szCs w:val="24"/>
          <w:shd w:val="clear" w:color="auto" w:fill="FFFFFF"/>
        </w:rPr>
        <w:t>Results.</w:t>
      </w:r>
      <w:r w:rsidRPr="00CB63BC">
        <w:rPr>
          <w:rFonts w:ascii="Arial" w:hAnsi="Arial" w:cs="Arial"/>
          <w:color w:val="212121"/>
          <w:sz w:val="24"/>
          <w:szCs w:val="24"/>
          <w:shd w:val="clear" w:color="auto" w:fill="FFFFFF"/>
        </w:rPr>
        <w:t xml:space="preserve"> Anxiety prevalence: greater than 60% of students from each ethnic group reported symptoms; reporting rates decreased significantly for Black men (49.6%); p &lt; 0.001. Depression prevalence: greater than 80% reported symptoms; there were significant differences in reporting between Black men and Black women (72.7% vs. 87.1%, p &lt; 0.001). Utilization: Black men utilized </w:t>
      </w:r>
      <w:proofErr w:type="spellStart"/>
      <w:r w:rsidRPr="00CB63BC">
        <w:rPr>
          <w:rFonts w:ascii="Arial" w:hAnsi="Arial" w:cs="Arial"/>
          <w:color w:val="212121"/>
          <w:sz w:val="24"/>
          <w:szCs w:val="24"/>
          <w:shd w:val="clear" w:color="auto" w:fill="FFFFFF"/>
        </w:rPr>
        <w:t>counseling</w:t>
      </w:r>
      <w:proofErr w:type="spellEnd"/>
      <w:r w:rsidRPr="00CB63BC">
        <w:rPr>
          <w:rFonts w:ascii="Arial" w:hAnsi="Arial" w:cs="Arial"/>
          <w:color w:val="212121"/>
          <w:sz w:val="24"/>
          <w:szCs w:val="24"/>
          <w:shd w:val="clear" w:color="auto" w:fill="FFFFFF"/>
        </w:rPr>
        <w:t xml:space="preserve"> services less than White men (20.4% vs. 37.8%, p = 0.024). </w:t>
      </w:r>
      <w:r w:rsidRPr="00CB63BC">
        <w:rPr>
          <w:rFonts w:ascii="Arial" w:hAnsi="Arial" w:cs="Arial"/>
          <w:b/>
          <w:bCs/>
          <w:color w:val="212121"/>
          <w:sz w:val="24"/>
          <w:szCs w:val="24"/>
          <w:shd w:val="clear" w:color="auto" w:fill="FFFFFF"/>
        </w:rPr>
        <w:t>Conclusion.</w:t>
      </w:r>
      <w:r w:rsidRPr="00CB63BC">
        <w:rPr>
          <w:rFonts w:ascii="Arial" w:hAnsi="Arial" w:cs="Arial"/>
          <w:color w:val="212121"/>
          <w:sz w:val="24"/>
          <w:szCs w:val="24"/>
          <w:shd w:val="clear" w:color="auto" w:fill="FFFFFF"/>
        </w:rPr>
        <w:t> Black men report depressive and anxiety symptoms but underutilize campus health resources.</w:t>
      </w:r>
    </w:p>
    <w:p w14:paraId="4407F836" w14:textId="0D6A611E" w:rsidR="00E310FF" w:rsidRPr="000F137C" w:rsidRDefault="00E310FF" w:rsidP="00334125">
      <w:pPr>
        <w:pStyle w:val="PlainText"/>
        <w:rPr>
          <w:rFonts w:ascii="Arial" w:hAnsi="Arial" w:cs="Arial"/>
          <w:sz w:val="24"/>
          <w:szCs w:val="24"/>
        </w:rPr>
      </w:pPr>
    </w:p>
    <w:p w14:paraId="451C63AF" w14:textId="6D291BB8" w:rsidR="004D6CCD" w:rsidRPr="000F137C" w:rsidRDefault="004D6CCD" w:rsidP="00334125">
      <w:pPr>
        <w:pStyle w:val="PlainText"/>
        <w:rPr>
          <w:rFonts w:ascii="Arial" w:hAnsi="Arial" w:cs="Arial"/>
          <w:sz w:val="24"/>
          <w:szCs w:val="24"/>
        </w:rPr>
      </w:pPr>
    </w:p>
    <w:p w14:paraId="116C4910" w14:textId="77777777" w:rsidR="00644E14" w:rsidRPr="000F137C" w:rsidRDefault="00644E14" w:rsidP="00334125">
      <w:pPr>
        <w:pStyle w:val="PlainText"/>
        <w:rPr>
          <w:rFonts w:ascii="Arial" w:hAnsi="Arial" w:cs="Arial"/>
          <w:sz w:val="24"/>
          <w:szCs w:val="24"/>
        </w:rPr>
      </w:pPr>
    </w:p>
    <w:p w14:paraId="44E76645" w14:textId="77777777" w:rsidR="008021FD" w:rsidRPr="000F137C" w:rsidRDefault="008021FD" w:rsidP="00644E14">
      <w:pPr>
        <w:pStyle w:val="PlainText"/>
        <w:rPr>
          <w:rFonts w:ascii="Arial" w:hAnsi="Arial" w:cs="Arial"/>
          <w:sz w:val="24"/>
          <w:szCs w:val="24"/>
        </w:rPr>
      </w:pPr>
    </w:p>
    <w:p w14:paraId="6BC21295" w14:textId="77777777" w:rsidR="008021FD" w:rsidRPr="000F137C" w:rsidRDefault="008021FD" w:rsidP="00644E14">
      <w:pPr>
        <w:pStyle w:val="PlainText"/>
        <w:rPr>
          <w:rFonts w:ascii="Arial" w:hAnsi="Arial" w:cs="Arial"/>
          <w:sz w:val="24"/>
          <w:szCs w:val="24"/>
        </w:rPr>
      </w:pPr>
    </w:p>
    <w:p w14:paraId="78DDE9E5" w14:textId="77777777" w:rsidR="004D6CCD" w:rsidRPr="000F137C" w:rsidRDefault="004D6CCD" w:rsidP="004D6CCD">
      <w:pPr>
        <w:pStyle w:val="PlainText"/>
        <w:rPr>
          <w:rFonts w:ascii="Arial" w:hAnsi="Arial" w:cs="Arial"/>
          <w:sz w:val="24"/>
          <w:szCs w:val="24"/>
        </w:rPr>
      </w:pPr>
    </w:p>
    <w:p w14:paraId="4E928F40" w14:textId="77777777" w:rsidR="008021FD" w:rsidRPr="000F137C" w:rsidRDefault="008021FD" w:rsidP="004D6CCD">
      <w:pPr>
        <w:pStyle w:val="PlainText"/>
        <w:rPr>
          <w:rFonts w:ascii="Arial" w:hAnsi="Arial" w:cs="Arial"/>
          <w:sz w:val="24"/>
          <w:szCs w:val="24"/>
        </w:rPr>
      </w:pPr>
    </w:p>
    <w:p w14:paraId="448CC868" w14:textId="77777777" w:rsidR="00B93AB2" w:rsidRPr="000F137C" w:rsidRDefault="00B93AB2" w:rsidP="00B93AB2">
      <w:pPr>
        <w:pStyle w:val="PlainText"/>
        <w:rPr>
          <w:rFonts w:ascii="Arial" w:hAnsi="Arial" w:cs="Arial"/>
          <w:sz w:val="24"/>
          <w:szCs w:val="24"/>
        </w:rPr>
      </w:pPr>
    </w:p>
    <w:p w14:paraId="0E53F628" w14:textId="77777777" w:rsidR="00CA2881" w:rsidRPr="000F137C" w:rsidRDefault="00CA2881" w:rsidP="00CA2881">
      <w:pPr>
        <w:pStyle w:val="PlainText"/>
        <w:rPr>
          <w:rFonts w:ascii="Arial" w:hAnsi="Arial" w:cs="Arial"/>
          <w:sz w:val="24"/>
          <w:szCs w:val="24"/>
        </w:rPr>
      </w:pPr>
    </w:p>
    <w:p w14:paraId="554926EB" w14:textId="77777777" w:rsidR="00CA2881" w:rsidRPr="000F137C" w:rsidRDefault="00CA2881" w:rsidP="00CA2881">
      <w:pPr>
        <w:pStyle w:val="PlainText"/>
        <w:rPr>
          <w:rFonts w:ascii="Arial" w:hAnsi="Arial" w:cs="Arial"/>
          <w:sz w:val="24"/>
          <w:szCs w:val="24"/>
        </w:rPr>
      </w:pPr>
    </w:p>
    <w:p w14:paraId="4066B751" w14:textId="1ECC9B85" w:rsidR="00CA2881" w:rsidRPr="000F137C" w:rsidRDefault="00CA2881">
      <w:pPr>
        <w:rPr>
          <w:rFonts w:ascii="Arial" w:hAnsi="Arial" w:cs="Arial"/>
          <w:sz w:val="24"/>
          <w:szCs w:val="24"/>
        </w:rPr>
      </w:pPr>
    </w:p>
    <w:p w14:paraId="7C904FB0" w14:textId="77777777" w:rsidR="00817E7F" w:rsidRPr="000F137C" w:rsidRDefault="00817E7F" w:rsidP="00817E7F">
      <w:pPr>
        <w:pStyle w:val="PlainText"/>
        <w:rPr>
          <w:rFonts w:ascii="Arial" w:hAnsi="Arial" w:cs="Arial"/>
          <w:sz w:val="24"/>
          <w:szCs w:val="24"/>
        </w:rPr>
      </w:pPr>
    </w:p>
    <w:p w14:paraId="5F9ABEB4" w14:textId="77777777" w:rsidR="00817E7F" w:rsidRPr="000F137C" w:rsidRDefault="00817E7F" w:rsidP="00817E7F">
      <w:pPr>
        <w:pStyle w:val="PlainText"/>
        <w:rPr>
          <w:rFonts w:ascii="Arial" w:hAnsi="Arial" w:cs="Arial"/>
          <w:sz w:val="24"/>
          <w:szCs w:val="24"/>
        </w:rPr>
      </w:pPr>
    </w:p>
    <w:p w14:paraId="2A770147" w14:textId="77777777" w:rsidR="00817E7F" w:rsidRPr="000F137C" w:rsidRDefault="00817E7F">
      <w:pPr>
        <w:rPr>
          <w:rFonts w:ascii="Arial" w:hAnsi="Arial" w:cs="Arial"/>
          <w:sz w:val="24"/>
          <w:szCs w:val="24"/>
        </w:rPr>
      </w:pPr>
    </w:p>
    <w:sectPr w:rsidR="00817E7F" w:rsidRPr="000F13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66A5D"/>
    <w:multiLevelType w:val="multilevel"/>
    <w:tmpl w:val="7C0A2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C52368"/>
    <w:multiLevelType w:val="multilevel"/>
    <w:tmpl w:val="2BD011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9C1F2A"/>
    <w:multiLevelType w:val="multilevel"/>
    <w:tmpl w:val="A1969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EE2BED"/>
    <w:multiLevelType w:val="multilevel"/>
    <w:tmpl w:val="B916F7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4C0057"/>
    <w:multiLevelType w:val="multilevel"/>
    <w:tmpl w:val="5F34A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874635"/>
    <w:multiLevelType w:val="multilevel"/>
    <w:tmpl w:val="2A0687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805C87"/>
    <w:multiLevelType w:val="multilevel"/>
    <w:tmpl w:val="F33CF9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69030398">
    <w:abstractNumId w:val="6"/>
  </w:num>
  <w:num w:numId="2" w16cid:durableId="1767381209">
    <w:abstractNumId w:val="0"/>
  </w:num>
  <w:num w:numId="3" w16cid:durableId="1606494838">
    <w:abstractNumId w:val="5"/>
  </w:num>
  <w:num w:numId="4" w16cid:durableId="567157461">
    <w:abstractNumId w:val="1"/>
  </w:num>
  <w:num w:numId="5" w16cid:durableId="1260944633">
    <w:abstractNumId w:val="3"/>
  </w:num>
  <w:num w:numId="6" w16cid:durableId="1758939896">
    <w:abstractNumId w:val="2"/>
  </w:num>
  <w:num w:numId="7" w16cid:durableId="6258930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F5A7D"/>
    <w:rsid w:val="000A1C36"/>
    <w:rsid w:val="000E5F73"/>
    <w:rsid w:val="000F137C"/>
    <w:rsid w:val="00145FB6"/>
    <w:rsid w:val="001465E2"/>
    <w:rsid w:val="001475A4"/>
    <w:rsid w:val="001728EA"/>
    <w:rsid w:val="001F3836"/>
    <w:rsid w:val="00231A12"/>
    <w:rsid w:val="00256765"/>
    <w:rsid w:val="002709A2"/>
    <w:rsid w:val="002B6E02"/>
    <w:rsid w:val="00334125"/>
    <w:rsid w:val="00395FB9"/>
    <w:rsid w:val="003F45F3"/>
    <w:rsid w:val="00441057"/>
    <w:rsid w:val="004566DF"/>
    <w:rsid w:val="004D5DBD"/>
    <w:rsid w:val="004D6CCD"/>
    <w:rsid w:val="004F693F"/>
    <w:rsid w:val="00590CC8"/>
    <w:rsid w:val="005B12B2"/>
    <w:rsid w:val="005D3980"/>
    <w:rsid w:val="005E4024"/>
    <w:rsid w:val="00644E14"/>
    <w:rsid w:val="0064678F"/>
    <w:rsid w:val="006E2282"/>
    <w:rsid w:val="00783EFC"/>
    <w:rsid w:val="007A26BD"/>
    <w:rsid w:val="008021FD"/>
    <w:rsid w:val="00804E0F"/>
    <w:rsid w:val="00817E7F"/>
    <w:rsid w:val="00857FBD"/>
    <w:rsid w:val="00874631"/>
    <w:rsid w:val="00934975"/>
    <w:rsid w:val="00A1760C"/>
    <w:rsid w:val="00B04EA6"/>
    <w:rsid w:val="00B3746A"/>
    <w:rsid w:val="00B657D8"/>
    <w:rsid w:val="00B879EB"/>
    <w:rsid w:val="00B93AB2"/>
    <w:rsid w:val="00B978C2"/>
    <w:rsid w:val="00BB525F"/>
    <w:rsid w:val="00BE64E8"/>
    <w:rsid w:val="00BE72FC"/>
    <w:rsid w:val="00C07C1D"/>
    <w:rsid w:val="00C41EAA"/>
    <w:rsid w:val="00C75697"/>
    <w:rsid w:val="00CA2881"/>
    <w:rsid w:val="00CB2E1E"/>
    <w:rsid w:val="00CB4A0B"/>
    <w:rsid w:val="00CB63BC"/>
    <w:rsid w:val="00CF5A7D"/>
    <w:rsid w:val="00DF2067"/>
    <w:rsid w:val="00DF236B"/>
    <w:rsid w:val="00DF73F0"/>
    <w:rsid w:val="00E05017"/>
    <w:rsid w:val="00E310FF"/>
    <w:rsid w:val="00E431C1"/>
    <w:rsid w:val="00EB0C29"/>
    <w:rsid w:val="00F2011F"/>
    <w:rsid w:val="00FE28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A4A39"/>
  <w15:docId w15:val="{F2B9C8E3-C47C-4921-92D6-E94079BD3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semiHidden/>
    <w:unhideWhenUsed/>
    <w:qFormat/>
    <w:rsid w:val="005E4024"/>
    <w:pPr>
      <w:spacing w:before="100" w:beforeAutospacing="1" w:after="100" w:afterAutospacing="1" w:line="240" w:lineRule="auto"/>
      <w:outlineLvl w:val="1"/>
    </w:pPr>
    <w:rPr>
      <w:rFonts w:ascii="Calibri" w:eastAsia="Times New Roman" w:hAnsi="Calibri" w:cs="Calibri"/>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64E8"/>
    <w:rPr>
      <w:color w:val="0563C1" w:themeColor="hyperlink"/>
      <w:u w:val="single"/>
    </w:rPr>
  </w:style>
  <w:style w:type="paragraph" w:styleId="PlainText">
    <w:name w:val="Plain Text"/>
    <w:basedOn w:val="Normal"/>
    <w:link w:val="PlainTextChar"/>
    <w:uiPriority w:val="99"/>
    <w:semiHidden/>
    <w:unhideWhenUsed/>
    <w:rsid w:val="00BE64E8"/>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BE64E8"/>
    <w:rPr>
      <w:rFonts w:ascii="Calibri" w:hAnsi="Calibri"/>
      <w:szCs w:val="21"/>
    </w:rPr>
  </w:style>
  <w:style w:type="character" w:customStyle="1" w:styleId="Heading2Char">
    <w:name w:val="Heading 2 Char"/>
    <w:basedOn w:val="DefaultParagraphFont"/>
    <w:link w:val="Heading2"/>
    <w:uiPriority w:val="9"/>
    <w:semiHidden/>
    <w:rsid w:val="005E4024"/>
    <w:rPr>
      <w:rFonts w:ascii="Calibri" w:eastAsia="Times New Roman" w:hAnsi="Calibri" w:cs="Calibri"/>
      <w:b/>
      <w:bCs/>
      <w:sz w:val="36"/>
      <w:szCs w:val="36"/>
      <w:lang w:eastAsia="en-GB"/>
    </w:rPr>
  </w:style>
  <w:style w:type="paragraph" w:styleId="NormalWeb">
    <w:name w:val="Normal (Web)"/>
    <w:basedOn w:val="Normal"/>
    <w:uiPriority w:val="99"/>
    <w:semiHidden/>
    <w:unhideWhenUsed/>
    <w:rsid w:val="00395FB9"/>
    <w:pPr>
      <w:spacing w:before="100" w:beforeAutospacing="1" w:after="100" w:afterAutospacing="1" w:line="240" w:lineRule="auto"/>
    </w:pPr>
    <w:rPr>
      <w:rFonts w:ascii="Calibri" w:hAnsi="Calibri" w:cs="Calibri"/>
      <w:lang w:eastAsia="en-GB"/>
    </w:rPr>
  </w:style>
  <w:style w:type="character" w:styleId="UnresolvedMention">
    <w:name w:val="Unresolved Mention"/>
    <w:basedOn w:val="DefaultParagraphFont"/>
    <w:uiPriority w:val="99"/>
    <w:semiHidden/>
    <w:unhideWhenUsed/>
    <w:rsid w:val="001728EA"/>
    <w:rPr>
      <w:color w:val="605E5C"/>
      <w:shd w:val="clear" w:color="auto" w:fill="E1DFDD"/>
    </w:rPr>
  </w:style>
  <w:style w:type="character" w:customStyle="1" w:styleId="csl-entry">
    <w:name w:val="csl-entry"/>
    <w:basedOn w:val="DefaultParagraphFont"/>
    <w:rsid w:val="00DF73F0"/>
  </w:style>
  <w:style w:type="character" w:customStyle="1" w:styleId="contentpasted3">
    <w:name w:val="contentpasted3"/>
    <w:basedOn w:val="DefaultParagraphFont"/>
    <w:rsid w:val="00DF73F0"/>
  </w:style>
  <w:style w:type="character" w:customStyle="1" w:styleId="contentpasted2">
    <w:name w:val="contentpasted2"/>
    <w:basedOn w:val="DefaultParagraphFont"/>
    <w:rsid w:val="00DF73F0"/>
  </w:style>
  <w:style w:type="character" w:customStyle="1" w:styleId="contentpasted1">
    <w:name w:val="contentpasted1"/>
    <w:basedOn w:val="DefaultParagraphFont"/>
    <w:rsid w:val="00DF73F0"/>
  </w:style>
  <w:style w:type="character" w:customStyle="1" w:styleId="xcsl-entry">
    <w:name w:val="x_csl-entry"/>
    <w:basedOn w:val="DefaultParagraphFont"/>
    <w:rsid w:val="00DF73F0"/>
  </w:style>
  <w:style w:type="character" w:customStyle="1" w:styleId="xxcsl-entry">
    <w:name w:val="x_x_csl-entry"/>
    <w:basedOn w:val="DefaultParagraphFont"/>
    <w:rsid w:val="00DF73F0"/>
  </w:style>
  <w:style w:type="character" w:customStyle="1" w:styleId="xxcontentpasted3">
    <w:name w:val="x_x_contentpasted3"/>
    <w:basedOn w:val="DefaultParagraphFont"/>
    <w:rsid w:val="00DF73F0"/>
  </w:style>
  <w:style w:type="character" w:customStyle="1" w:styleId="xxcontentpasted2">
    <w:name w:val="x_x_contentpasted2"/>
    <w:basedOn w:val="DefaultParagraphFont"/>
    <w:rsid w:val="00DF73F0"/>
  </w:style>
  <w:style w:type="character" w:customStyle="1" w:styleId="normaltextrun">
    <w:name w:val="normaltextrun"/>
    <w:basedOn w:val="DefaultParagraphFont"/>
    <w:rsid w:val="000F137C"/>
  </w:style>
  <w:style w:type="character" w:customStyle="1" w:styleId="eop">
    <w:name w:val="eop"/>
    <w:basedOn w:val="DefaultParagraphFont"/>
    <w:rsid w:val="000F1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6530">
      <w:bodyDiv w:val="1"/>
      <w:marLeft w:val="0"/>
      <w:marRight w:val="0"/>
      <w:marTop w:val="0"/>
      <w:marBottom w:val="0"/>
      <w:divBdr>
        <w:top w:val="none" w:sz="0" w:space="0" w:color="auto"/>
        <w:left w:val="none" w:sz="0" w:space="0" w:color="auto"/>
        <w:bottom w:val="none" w:sz="0" w:space="0" w:color="auto"/>
        <w:right w:val="none" w:sz="0" w:space="0" w:color="auto"/>
      </w:divBdr>
    </w:div>
    <w:div w:id="19672082">
      <w:bodyDiv w:val="1"/>
      <w:marLeft w:val="0"/>
      <w:marRight w:val="0"/>
      <w:marTop w:val="0"/>
      <w:marBottom w:val="0"/>
      <w:divBdr>
        <w:top w:val="none" w:sz="0" w:space="0" w:color="auto"/>
        <w:left w:val="none" w:sz="0" w:space="0" w:color="auto"/>
        <w:bottom w:val="none" w:sz="0" w:space="0" w:color="auto"/>
        <w:right w:val="none" w:sz="0" w:space="0" w:color="auto"/>
      </w:divBdr>
    </w:div>
    <w:div w:id="156264036">
      <w:bodyDiv w:val="1"/>
      <w:marLeft w:val="0"/>
      <w:marRight w:val="0"/>
      <w:marTop w:val="0"/>
      <w:marBottom w:val="0"/>
      <w:divBdr>
        <w:top w:val="none" w:sz="0" w:space="0" w:color="auto"/>
        <w:left w:val="none" w:sz="0" w:space="0" w:color="auto"/>
        <w:bottom w:val="none" w:sz="0" w:space="0" w:color="auto"/>
        <w:right w:val="none" w:sz="0" w:space="0" w:color="auto"/>
      </w:divBdr>
      <w:divsChild>
        <w:div w:id="1059672350">
          <w:marLeft w:val="0"/>
          <w:marRight w:val="0"/>
          <w:marTop w:val="0"/>
          <w:marBottom w:val="0"/>
          <w:divBdr>
            <w:top w:val="none" w:sz="0" w:space="0" w:color="auto"/>
            <w:left w:val="none" w:sz="0" w:space="0" w:color="auto"/>
            <w:bottom w:val="none" w:sz="0" w:space="0" w:color="auto"/>
            <w:right w:val="none" w:sz="0" w:space="0" w:color="auto"/>
          </w:divBdr>
          <w:divsChild>
            <w:div w:id="14944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85260">
      <w:bodyDiv w:val="1"/>
      <w:marLeft w:val="0"/>
      <w:marRight w:val="0"/>
      <w:marTop w:val="0"/>
      <w:marBottom w:val="0"/>
      <w:divBdr>
        <w:top w:val="none" w:sz="0" w:space="0" w:color="auto"/>
        <w:left w:val="none" w:sz="0" w:space="0" w:color="auto"/>
        <w:bottom w:val="none" w:sz="0" w:space="0" w:color="auto"/>
        <w:right w:val="none" w:sz="0" w:space="0" w:color="auto"/>
      </w:divBdr>
      <w:divsChild>
        <w:div w:id="177812253">
          <w:marLeft w:val="0"/>
          <w:marRight w:val="0"/>
          <w:marTop w:val="0"/>
          <w:marBottom w:val="0"/>
          <w:divBdr>
            <w:top w:val="none" w:sz="0" w:space="0" w:color="auto"/>
            <w:left w:val="none" w:sz="0" w:space="0" w:color="auto"/>
            <w:bottom w:val="none" w:sz="0" w:space="0" w:color="auto"/>
            <w:right w:val="none" w:sz="0" w:space="0" w:color="auto"/>
          </w:divBdr>
          <w:divsChild>
            <w:div w:id="198877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5516">
      <w:bodyDiv w:val="1"/>
      <w:marLeft w:val="0"/>
      <w:marRight w:val="0"/>
      <w:marTop w:val="0"/>
      <w:marBottom w:val="0"/>
      <w:divBdr>
        <w:top w:val="none" w:sz="0" w:space="0" w:color="auto"/>
        <w:left w:val="none" w:sz="0" w:space="0" w:color="auto"/>
        <w:bottom w:val="none" w:sz="0" w:space="0" w:color="auto"/>
        <w:right w:val="none" w:sz="0" w:space="0" w:color="auto"/>
      </w:divBdr>
    </w:div>
    <w:div w:id="365838959">
      <w:bodyDiv w:val="1"/>
      <w:marLeft w:val="0"/>
      <w:marRight w:val="0"/>
      <w:marTop w:val="0"/>
      <w:marBottom w:val="0"/>
      <w:divBdr>
        <w:top w:val="none" w:sz="0" w:space="0" w:color="auto"/>
        <w:left w:val="none" w:sz="0" w:space="0" w:color="auto"/>
        <w:bottom w:val="none" w:sz="0" w:space="0" w:color="auto"/>
        <w:right w:val="none" w:sz="0" w:space="0" w:color="auto"/>
      </w:divBdr>
    </w:div>
    <w:div w:id="388575351">
      <w:bodyDiv w:val="1"/>
      <w:marLeft w:val="0"/>
      <w:marRight w:val="0"/>
      <w:marTop w:val="0"/>
      <w:marBottom w:val="0"/>
      <w:divBdr>
        <w:top w:val="none" w:sz="0" w:space="0" w:color="auto"/>
        <w:left w:val="none" w:sz="0" w:space="0" w:color="auto"/>
        <w:bottom w:val="none" w:sz="0" w:space="0" w:color="auto"/>
        <w:right w:val="none" w:sz="0" w:space="0" w:color="auto"/>
      </w:divBdr>
    </w:div>
    <w:div w:id="423115998">
      <w:bodyDiv w:val="1"/>
      <w:marLeft w:val="0"/>
      <w:marRight w:val="0"/>
      <w:marTop w:val="0"/>
      <w:marBottom w:val="0"/>
      <w:divBdr>
        <w:top w:val="none" w:sz="0" w:space="0" w:color="auto"/>
        <w:left w:val="none" w:sz="0" w:space="0" w:color="auto"/>
        <w:bottom w:val="none" w:sz="0" w:space="0" w:color="auto"/>
        <w:right w:val="none" w:sz="0" w:space="0" w:color="auto"/>
      </w:divBdr>
    </w:div>
    <w:div w:id="458498592">
      <w:bodyDiv w:val="1"/>
      <w:marLeft w:val="0"/>
      <w:marRight w:val="0"/>
      <w:marTop w:val="0"/>
      <w:marBottom w:val="0"/>
      <w:divBdr>
        <w:top w:val="none" w:sz="0" w:space="0" w:color="auto"/>
        <w:left w:val="none" w:sz="0" w:space="0" w:color="auto"/>
        <w:bottom w:val="none" w:sz="0" w:space="0" w:color="auto"/>
        <w:right w:val="none" w:sz="0" w:space="0" w:color="auto"/>
      </w:divBdr>
    </w:div>
    <w:div w:id="484929970">
      <w:bodyDiv w:val="1"/>
      <w:marLeft w:val="0"/>
      <w:marRight w:val="0"/>
      <w:marTop w:val="0"/>
      <w:marBottom w:val="0"/>
      <w:divBdr>
        <w:top w:val="none" w:sz="0" w:space="0" w:color="auto"/>
        <w:left w:val="none" w:sz="0" w:space="0" w:color="auto"/>
        <w:bottom w:val="none" w:sz="0" w:space="0" w:color="auto"/>
        <w:right w:val="none" w:sz="0" w:space="0" w:color="auto"/>
      </w:divBdr>
    </w:div>
    <w:div w:id="497968543">
      <w:bodyDiv w:val="1"/>
      <w:marLeft w:val="0"/>
      <w:marRight w:val="0"/>
      <w:marTop w:val="0"/>
      <w:marBottom w:val="0"/>
      <w:divBdr>
        <w:top w:val="none" w:sz="0" w:space="0" w:color="auto"/>
        <w:left w:val="none" w:sz="0" w:space="0" w:color="auto"/>
        <w:bottom w:val="none" w:sz="0" w:space="0" w:color="auto"/>
        <w:right w:val="none" w:sz="0" w:space="0" w:color="auto"/>
      </w:divBdr>
    </w:div>
    <w:div w:id="534395080">
      <w:bodyDiv w:val="1"/>
      <w:marLeft w:val="0"/>
      <w:marRight w:val="0"/>
      <w:marTop w:val="0"/>
      <w:marBottom w:val="0"/>
      <w:divBdr>
        <w:top w:val="none" w:sz="0" w:space="0" w:color="auto"/>
        <w:left w:val="none" w:sz="0" w:space="0" w:color="auto"/>
        <w:bottom w:val="none" w:sz="0" w:space="0" w:color="auto"/>
        <w:right w:val="none" w:sz="0" w:space="0" w:color="auto"/>
      </w:divBdr>
    </w:div>
    <w:div w:id="539822113">
      <w:bodyDiv w:val="1"/>
      <w:marLeft w:val="0"/>
      <w:marRight w:val="0"/>
      <w:marTop w:val="0"/>
      <w:marBottom w:val="0"/>
      <w:divBdr>
        <w:top w:val="none" w:sz="0" w:space="0" w:color="auto"/>
        <w:left w:val="none" w:sz="0" w:space="0" w:color="auto"/>
        <w:bottom w:val="none" w:sz="0" w:space="0" w:color="auto"/>
        <w:right w:val="none" w:sz="0" w:space="0" w:color="auto"/>
      </w:divBdr>
      <w:divsChild>
        <w:div w:id="1619994437">
          <w:marLeft w:val="0"/>
          <w:marRight w:val="0"/>
          <w:marTop w:val="0"/>
          <w:marBottom w:val="0"/>
          <w:divBdr>
            <w:top w:val="none" w:sz="0" w:space="0" w:color="auto"/>
            <w:left w:val="none" w:sz="0" w:space="0" w:color="auto"/>
            <w:bottom w:val="none" w:sz="0" w:space="0" w:color="auto"/>
            <w:right w:val="none" w:sz="0" w:space="0" w:color="auto"/>
          </w:divBdr>
          <w:divsChild>
            <w:div w:id="175381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0491">
      <w:bodyDiv w:val="1"/>
      <w:marLeft w:val="0"/>
      <w:marRight w:val="0"/>
      <w:marTop w:val="0"/>
      <w:marBottom w:val="0"/>
      <w:divBdr>
        <w:top w:val="none" w:sz="0" w:space="0" w:color="auto"/>
        <w:left w:val="none" w:sz="0" w:space="0" w:color="auto"/>
        <w:bottom w:val="none" w:sz="0" w:space="0" w:color="auto"/>
        <w:right w:val="none" w:sz="0" w:space="0" w:color="auto"/>
      </w:divBdr>
    </w:div>
    <w:div w:id="722800803">
      <w:bodyDiv w:val="1"/>
      <w:marLeft w:val="0"/>
      <w:marRight w:val="0"/>
      <w:marTop w:val="0"/>
      <w:marBottom w:val="0"/>
      <w:divBdr>
        <w:top w:val="none" w:sz="0" w:space="0" w:color="auto"/>
        <w:left w:val="none" w:sz="0" w:space="0" w:color="auto"/>
        <w:bottom w:val="none" w:sz="0" w:space="0" w:color="auto"/>
        <w:right w:val="none" w:sz="0" w:space="0" w:color="auto"/>
      </w:divBdr>
    </w:div>
    <w:div w:id="812870671">
      <w:bodyDiv w:val="1"/>
      <w:marLeft w:val="0"/>
      <w:marRight w:val="0"/>
      <w:marTop w:val="0"/>
      <w:marBottom w:val="0"/>
      <w:divBdr>
        <w:top w:val="none" w:sz="0" w:space="0" w:color="auto"/>
        <w:left w:val="none" w:sz="0" w:space="0" w:color="auto"/>
        <w:bottom w:val="none" w:sz="0" w:space="0" w:color="auto"/>
        <w:right w:val="none" w:sz="0" w:space="0" w:color="auto"/>
      </w:divBdr>
    </w:div>
    <w:div w:id="842858648">
      <w:bodyDiv w:val="1"/>
      <w:marLeft w:val="0"/>
      <w:marRight w:val="0"/>
      <w:marTop w:val="0"/>
      <w:marBottom w:val="0"/>
      <w:divBdr>
        <w:top w:val="none" w:sz="0" w:space="0" w:color="auto"/>
        <w:left w:val="none" w:sz="0" w:space="0" w:color="auto"/>
        <w:bottom w:val="none" w:sz="0" w:space="0" w:color="auto"/>
        <w:right w:val="none" w:sz="0" w:space="0" w:color="auto"/>
      </w:divBdr>
    </w:div>
    <w:div w:id="910654299">
      <w:bodyDiv w:val="1"/>
      <w:marLeft w:val="0"/>
      <w:marRight w:val="0"/>
      <w:marTop w:val="0"/>
      <w:marBottom w:val="0"/>
      <w:divBdr>
        <w:top w:val="none" w:sz="0" w:space="0" w:color="auto"/>
        <w:left w:val="none" w:sz="0" w:space="0" w:color="auto"/>
        <w:bottom w:val="none" w:sz="0" w:space="0" w:color="auto"/>
        <w:right w:val="none" w:sz="0" w:space="0" w:color="auto"/>
      </w:divBdr>
    </w:div>
    <w:div w:id="914432379">
      <w:bodyDiv w:val="1"/>
      <w:marLeft w:val="0"/>
      <w:marRight w:val="0"/>
      <w:marTop w:val="0"/>
      <w:marBottom w:val="0"/>
      <w:divBdr>
        <w:top w:val="none" w:sz="0" w:space="0" w:color="auto"/>
        <w:left w:val="none" w:sz="0" w:space="0" w:color="auto"/>
        <w:bottom w:val="none" w:sz="0" w:space="0" w:color="auto"/>
        <w:right w:val="none" w:sz="0" w:space="0" w:color="auto"/>
      </w:divBdr>
    </w:div>
    <w:div w:id="922031114">
      <w:bodyDiv w:val="1"/>
      <w:marLeft w:val="0"/>
      <w:marRight w:val="0"/>
      <w:marTop w:val="0"/>
      <w:marBottom w:val="0"/>
      <w:divBdr>
        <w:top w:val="none" w:sz="0" w:space="0" w:color="auto"/>
        <w:left w:val="none" w:sz="0" w:space="0" w:color="auto"/>
        <w:bottom w:val="none" w:sz="0" w:space="0" w:color="auto"/>
        <w:right w:val="none" w:sz="0" w:space="0" w:color="auto"/>
      </w:divBdr>
    </w:div>
    <w:div w:id="953444863">
      <w:bodyDiv w:val="1"/>
      <w:marLeft w:val="0"/>
      <w:marRight w:val="0"/>
      <w:marTop w:val="0"/>
      <w:marBottom w:val="0"/>
      <w:divBdr>
        <w:top w:val="none" w:sz="0" w:space="0" w:color="auto"/>
        <w:left w:val="none" w:sz="0" w:space="0" w:color="auto"/>
        <w:bottom w:val="none" w:sz="0" w:space="0" w:color="auto"/>
        <w:right w:val="none" w:sz="0" w:space="0" w:color="auto"/>
      </w:divBdr>
    </w:div>
    <w:div w:id="1118641095">
      <w:bodyDiv w:val="1"/>
      <w:marLeft w:val="0"/>
      <w:marRight w:val="0"/>
      <w:marTop w:val="0"/>
      <w:marBottom w:val="0"/>
      <w:divBdr>
        <w:top w:val="none" w:sz="0" w:space="0" w:color="auto"/>
        <w:left w:val="none" w:sz="0" w:space="0" w:color="auto"/>
        <w:bottom w:val="none" w:sz="0" w:space="0" w:color="auto"/>
        <w:right w:val="none" w:sz="0" w:space="0" w:color="auto"/>
      </w:divBdr>
    </w:div>
    <w:div w:id="1129931063">
      <w:bodyDiv w:val="1"/>
      <w:marLeft w:val="0"/>
      <w:marRight w:val="0"/>
      <w:marTop w:val="0"/>
      <w:marBottom w:val="0"/>
      <w:divBdr>
        <w:top w:val="none" w:sz="0" w:space="0" w:color="auto"/>
        <w:left w:val="none" w:sz="0" w:space="0" w:color="auto"/>
        <w:bottom w:val="none" w:sz="0" w:space="0" w:color="auto"/>
        <w:right w:val="none" w:sz="0" w:space="0" w:color="auto"/>
      </w:divBdr>
    </w:div>
    <w:div w:id="1336344908">
      <w:bodyDiv w:val="1"/>
      <w:marLeft w:val="0"/>
      <w:marRight w:val="0"/>
      <w:marTop w:val="0"/>
      <w:marBottom w:val="0"/>
      <w:divBdr>
        <w:top w:val="none" w:sz="0" w:space="0" w:color="auto"/>
        <w:left w:val="none" w:sz="0" w:space="0" w:color="auto"/>
        <w:bottom w:val="none" w:sz="0" w:space="0" w:color="auto"/>
        <w:right w:val="none" w:sz="0" w:space="0" w:color="auto"/>
      </w:divBdr>
    </w:div>
    <w:div w:id="1449856791">
      <w:bodyDiv w:val="1"/>
      <w:marLeft w:val="0"/>
      <w:marRight w:val="0"/>
      <w:marTop w:val="0"/>
      <w:marBottom w:val="0"/>
      <w:divBdr>
        <w:top w:val="none" w:sz="0" w:space="0" w:color="auto"/>
        <w:left w:val="none" w:sz="0" w:space="0" w:color="auto"/>
        <w:bottom w:val="none" w:sz="0" w:space="0" w:color="auto"/>
        <w:right w:val="none" w:sz="0" w:space="0" w:color="auto"/>
      </w:divBdr>
      <w:divsChild>
        <w:div w:id="112946089">
          <w:marLeft w:val="0"/>
          <w:marRight w:val="0"/>
          <w:marTop w:val="0"/>
          <w:marBottom w:val="0"/>
          <w:divBdr>
            <w:top w:val="none" w:sz="0" w:space="0" w:color="auto"/>
            <w:left w:val="none" w:sz="0" w:space="0" w:color="auto"/>
            <w:bottom w:val="none" w:sz="0" w:space="0" w:color="auto"/>
            <w:right w:val="none" w:sz="0" w:space="0" w:color="auto"/>
          </w:divBdr>
          <w:divsChild>
            <w:div w:id="105894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928855">
      <w:bodyDiv w:val="1"/>
      <w:marLeft w:val="0"/>
      <w:marRight w:val="0"/>
      <w:marTop w:val="0"/>
      <w:marBottom w:val="0"/>
      <w:divBdr>
        <w:top w:val="none" w:sz="0" w:space="0" w:color="auto"/>
        <w:left w:val="none" w:sz="0" w:space="0" w:color="auto"/>
        <w:bottom w:val="none" w:sz="0" w:space="0" w:color="auto"/>
        <w:right w:val="none" w:sz="0" w:space="0" w:color="auto"/>
      </w:divBdr>
    </w:div>
    <w:div w:id="1505632872">
      <w:bodyDiv w:val="1"/>
      <w:marLeft w:val="0"/>
      <w:marRight w:val="0"/>
      <w:marTop w:val="0"/>
      <w:marBottom w:val="0"/>
      <w:divBdr>
        <w:top w:val="none" w:sz="0" w:space="0" w:color="auto"/>
        <w:left w:val="none" w:sz="0" w:space="0" w:color="auto"/>
        <w:bottom w:val="none" w:sz="0" w:space="0" w:color="auto"/>
        <w:right w:val="none" w:sz="0" w:space="0" w:color="auto"/>
      </w:divBdr>
    </w:div>
    <w:div w:id="1509366613">
      <w:bodyDiv w:val="1"/>
      <w:marLeft w:val="0"/>
      <w:marRight w:val="0"/>
      <w:marTop w:val="0"/>
      <w:marBottom w:val="0"/>
      <w:divBdr>
        <w:top w:val="none" w:sz="0" w:space="0" w:color="auto"/>
        <w:left w:val="none" w:sz="0" w:space="0" w:color="auto"/>
        <w:bottom w:val="none" w:sz="0" w:space="0" w:color="auto"/>
        <w:right w:val="none" w:sz="0" w:space="0" w:color="auto"/>
      </w:divBdr>
      <w:divsChild>
        <w:div w:id="1525290378">
          <w:marLeft w:val="0"/>
          <w:marRight w:val="0"/>
          <w:marTop w:val="0"/>
          <w:marBottom w:val="0"/>
          <w:divBdr>
            <w:top w:val="none" w:sz="0" w:space="0" w:color="auto"/>
            <w:left w:val="none" w:sz="0" w:space="0" w:color="auto"/>
            <w:bottom w:val="none" w:sz="0" w:space="0" w:color="auto"/>
            <w:right w:val="none" w:sz="0" w:space="0" w:color="auto"/>
          </w:divBdr>
          <w:divsChild>
            <w:div w:id="160907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763453">
      <w:bodyDiv w:val="1"/>
      <w:marLeft w:val="0"/>
      <w:marRight w:val="0"/>
      <w:marTop w:val="0"/>
      <w:marBottom w:val="0"/>
      <w:divBdr>
        <w:top w:val="none" w:sz="0" w:space="0" w:color="auto"/>
        <w:left w:val="none" w:sz="0" w:space="0" w:color="auto"/>
        <w:bottom w:val="none" w:sz="0" w:space="0" w:color="auto"/>
        <w:right w:val="none" w:sz="0" w:space="0" w:color="auto"/>
      </w:divBdr>
    </w:div>
    <w:div w:id="1551989200">
      <w:bodyDiv w:val="1"/>
      <w:marLeft w:val="0"/>
      <w:marRight w:val="0"/>
      <w:marTop w:val="0"/>
      <w:marBottom w:val="0"/>
      <w:divBdr>
        <w:top w:val="none" w:sz="0" w:space="0" w:color="auto"/>
        <w:left w:val="none" w:sz="0" w:space="0" w:color="auto"/>
        <w:bottom w:val="none" w:sz="0" w:space="0" w:color="auto"/>
        <w:right w:val="none" w:sz="0" w:space="0" w:color="auto"/>
      </w:divBdr>
    </w:div>
    <w:div w:id="1628470641">
      <w:bodyDiv w:val="1"/>
      <w:marLeft w:val="0"/>
      <w:marRight w:val="0"/>
      <w:marTop w:val="0"/>
      <w:marBottom w:val="0"/>
      <w:divBdr>
        <w:top w:val="none" w:sz="0" w:space="0" w:color="auto"/>
        <w:left w:val="none" w:sz="0" w:space="0" w:color="auto"/>
        <w:bottom w:val="none" w:sz="0" w:space="0" w:color="auto"/>
        <w:right w:val="none" w:sz="0" w:space="0" w:color="auto"/>
      </w:divBdr>
    </w:div>
    <w:div w:id="1649435767">
      <w:bodyDiv w:val="1"/>
      <w:marLeft w:val="0"/>
      <w:marRight w:val="0"/>
      <w:marTop w:val="0"/>
      <w:marBottom w:val="0"/>
      <w:divBdr>
        <w:top w:val="none" w:sz="0" w:space="0" w:color="auto"/>
        <w:left w:val="none" w:sz="0" w:space="0" w:color="auto"/>
        <w:bottom w:val="none" w:sz="0" w:space="0" w:color="auto"/>
        <w:right w:val="none" w:sz="0" w:space="0" w:color="auto"/>
      </w:divBdr>
    </w:div>
    <w:div w:id="1732844420">
      <w:bodyDiv w:val="1"/>
      <w:marLeft w:val="0"/>
      <w:marRight w:val="0"/>
      <w:marTop w:val="0"/>
      <w:marBottom w:val="0"/>
      <w:divBdr>
        <w:top w:val="none" w:sz="0" w:space="0" w:color="auto"/>
        <w:left w:val="none" w:sz="0" w:space="0" w:color="auto"/>
        <w:bottom w:val="none" w:sz="0" w:space="0" w:color="auto"/>
        <w:right w:val="none" w:sz="0" w:space="0" w:color="auto"/>
      </w:divBdr>
    </w:div>
    <w:div w:id="1736662889">
      <w:bodyDiv w:val="1"/>
      <w:marLeft w:val="0"/>
      <w:marRight w:val="0"/>
      <w:marTop w:val="0"/>
      <w:marBottom w:val="0"/>
      <w:divBdr>
        <w:top w:val="none" w:sz="0" w:space="0" w:color="auto"/>
        <w:left w:val="none" w:sz="0" w:space="0" w:color="auto"/>
        <w:bottom w:val="none" w:sz="0" w:space="0" w:color="auto"/>
        <w:right w:val="none" w:sz="0" w:space="0" w:color="auto"/>
      </w:divBdr>
    </w:div>
    <w:div w:id="1759137506">
      <w:bodyDiv w:val="1"/>
      <w:marLeft w:val="0"/>
      <w:marRight w:val="0"/>
      <w:marTop w:val="0"/>
      <w:marBottom w:val="0"/>
      <w:divBdr>
        <w:top w:val="none" w:sz="0" w:space="0" w:color="auto"/>
        <w:left w:val="none" w:sz="0" w:space="0" w:color="auto"/>
        <w:bottom w:val="none" w:sz="0" w:space="0" w:color="auto"/>
        <w:right w:val="none" w:sz="0" w:space="0" w:color="auto"/>
      </w:divBdr>
    </w:div>
    <w:div w:id="1805195214">
      <w:bodyDiv w:val="1"/>
      <w:marLeft w:val="0"/>
      <w:marRight w:val="0"/>
      <w:marTop w:val="0"/>
      <w:marBottom w:val="0"/>
      <w:divBdr>
        <w:top w:val="none" w:sz="0" w:space="0" w:color="auto"/>
        <w:left w:val="none" w:sz="0" w:space="0" w:color="auto"/>
        <w:bottom w:val="none" w:sz="0" w:space="0" w:color="auto"/>
        <w:right w:val="none" w:sz="0" w:space="0" w:color="auto"/>
      </w:divBdr>
      <w:divsChild>
        <w:div w:id="316224428">
          <w:marLeft w:val="0"/>
          <w:marRight w:val="0"/>
          <w:marTop w:val="0"/>
          <w:marBottom w:val="0"/>
          <w:divBdr>
            <w:top w:val="none" w:sz="0" w:space="0" w:color="auto"/>
            <w:left w:val="none" w:sz="0" w:space="0" w:color="auto"/>
            <w:bottom w:val="none" w:sz="0" w:space="0" w:color="auto"/>
            <w:right w:val="none" w:sz="0" w:space="0" w:color="auto"/>
          </w:divBdr>
          <w:divsChild>
            <w:div w:id="212357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653929">
      <w:bodyDiv w:val="1"/>
      <w:marLeft w:val="0"/>
      <w:marRight w:val="0"/>
      <w:marTop w:val="0"/>
      <w:marBottom w:val="0"/>
      <w:divBdr>
        <w:top w:val="none" w:sz="0" w:space="0" w:color="auto"/>
        <w:left w:val="none" w:sz="0" w:space="0" w:color="auto"/>
        <w:bottom w:val="none" w:sz="0" w:space="0" w:color="auto"/>
        <w:right w:val="none" w:sz="0" w:space="0" w:color="auto"/>
      </w:divBdr>
    </w:div>
    <w:div w:id="1906868162">
      <w:bodyDiv w:val="1"/>
      <w:marLeft w:val="0"/>
      <w:marRight w:val="0"/>
      <w:marTop w:val="0"/>
      <w:marBottom w:val="0"/>
      <w:divBdr>
        <w:top w:val="none" w:sz="0" w:space="0" w:color="auto"/>
        <w:left w:val="none" w:sz="0" w:space="0" w:color="auto"/>
        <w:bottom w:val="none" w:sz="0" w:space="0" w:color="auto"/>
        <w:right w:val="none" w:sz="0" w:space="0" w:color="auto"/>
      </w:divBdr>
      <w:divsChild>
        <w:div w:id="347754071">
          <w:marLeft w:val="0"/>
          <w:marRight w:val="0"/>
          <w:marTop w:val="0"/>
          <w:marBottom w:val="0"/>
          <w:divBdr>
            <w:top w:val="none" w:sz="0" w:space="0" w:color="auto"/>
            <w:left w:val="none" w:sz="0" w:space="0" w:color="auto"/>
            <w:bottom w:val="none" w:sz="0" w:space="0" w:color="auto"/>
            <w:right w:val="none" w:sz="0" w:space="0" w:color="auto"/>
          </w:divBdr>
          <w:divsChild>
            <w:div w:id="129251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532070">
      <w:bodyDiv w:val="1"/>
      <w:marLeft w:val="0"/>
      <w:marRight w:val="0"/>
      <w:marTop w:val="0"/>
      <w:marBottom w:val="0"/>
      <w:divBdr>
        <w:top w:val="none" w:sz="0" w:space="0" w:color="auto"/>
        <w:left w:val="none" w:sz="0" w:space="0" w:color="auto"/>
        <w:bottom w:val="none" w:sz="0" w:space="0" w:color="auto"/>
        <w:right w:val="none" w:sz="0" w:space="0" w:color="auto"/>
      </w:divBdr>
    </w:div>
    <w:div w:id="2002273112">
      <w:bodyDiv w:val="1"/>
      <w:marLeft w:val="0"/>
      <w:marRight w:val="0"/>
      <w:marTop w:val="0"/>
      <w:marBottom w:val="0"/>
      <w:divBdr>
        <w:top w:val="none" w:sz="0" w:space="0" w:color="auto"/>
        <w:left w:val="none" w:sz="0" w:space="0" w:color="auto"/>
        <w:bottom w:val="none" w:sz="0" w:space="0" w:color="auto"/>
        <w:right w:val="none" w:sz="0" w:space="0" w:color="auto"/>
      </w:divBdr>
    </w:div>
    <w:div w:id="2034571101">
      <w:bodyDiv w:val="1"/>
      <w:marLeft w:val="0"/>
      <w:marRight w:val="0"/>
      <w:marTop w:val="0"/>
      <w:marBottom w:val="0"/>
      <w:divBdr>
        <w:top w:val="none" w:sz="0" w:space="0" w:color="auto"/>
        <w:left w:val="none" w:sz="0" w:space="0" w:color="auto"/>
        <w:bottom w:val="none" w:sz="0" w:space="0" w:color="auto"/>
        <w:right w:val="none" w:sz="0" w:space="0" w:color="auto"/>
      </w:divBdr>
    </w:div>
    <w:div w:id="2146267729">
      <w:bodyDiv w:val="1"/>
      <w:marLeft w:val="0"/>
      <w:marRight w:val="0"/>
      <w:marTop w:val="0"/>
      <w:marBottom w:val="0"/>
      <w:divBdr>
        <w:top w:val="none" w:sz="0" w:space="0" w:color="auto"/>
        <w:left w:val="none" w:sz="0" w:space="0" w:color="auto"/>
        <w:bottom w:val="none" w:sz="0" w:space="0" w:color="auto"/>
        <w:right w:val="none" w:sz="0" w:space="0" w:color="auto"/>
      </w:divBdr>
      <w:divsChild>
        <w:div w:id="1069039303">
          <w:marLeft w:val="0"/>
          <w:marRight w:val="0"/>
          <w:marTop w:val="0"/>
          <w:marBottom w:val="0"/>
          <w:divBdr>
            <w:top w:val="none" w:sz="0" w:space="0" w:color="auto"/>
            <w:left w:val="none" w:sz="0" w:space="0" w:color="auto"/>
            <w:bottom w:val="none" w:sz="0" w:space="0" w:color="auto"/>
            <w:right w:val="none" w:sz="0" w:space="0" w:color="auto"/>
          </w:divBdr>
          <w:divsChild>
            <w:div w:id="5923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26634/jpsy.16.3.1894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07/s10639-022-11390-0" TargetMode="External"/><Relationship Id="rId12" Type="http://schemas.openxmlformats.org/officeDocument/2006/relationships/hyperlink" Target="https://doi.org/10.1080/09687599.2021.191853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imeshighereducation.com/campus/adhd-higher-education-digital-learning-making-it-worse" TargetMode="External"/><Relationship Id="rId11" Type="http://schemas.openxmlformats.org/officeDocument/2006/relationships/hyperlink" Target="https://doi.org/10.1186/s41239-023-00397-3" TargetMode="External"/><Relationship Id="rId5" Type="http://schemas.openxmlformats.org/officeDocument/2006/relationships/hyperlink" Target="https://doi.org/10.1177/00986283211036420" TargetMode="External"/><Relationship Id="rId10" Type="http://schemas.openxmlformats.org/officeDocument/2006/relationships/hyperlink" Target="https://doi.org/10.1353/csj.2023.0005" TargetMode="External"/><Relationship Id="rId4" Type="http://schemas.openxmlformats.org/officeDocument/2006/relationships/webSettings" Target="webSettings.xml"/><Relationship Id="rId9" Type="http://schemas.openxmlformats.org/officeDocument/2006/relationships/hyperlink" Target="https://doi.org/10.1080/07448481.2021.1909035"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2458</Words>
  <Characters>14013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2</cp:revision>
  <dcterms:created xsi:type="dcterms:W3CDTF">2023-07-18T07:58:00Z</dcterms:created>
  <dcterms:modified xsi:type="dcterms:W3CDTF">2023-07-18T07:58:00Z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d297b12879b47efc9c991cfe1dc99d7ed097390a7ee1f161122a7b11a8642750</vt:lpwstr>
  </property>
</Properties>
</file>