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52791" w14:textId="1F66477A" w:rsidR="00234B90" w:rsidRDefault="0040508B" w:rsidP="005259BD">
      <w:pPr>
        <w:rPr>
          <w:rFonts w:ascii="Arial" w:hAnsi="Arial" w:cs="Arial"/>
          <w:b/>
          <w:bCs/>
          <w:sz w:val="28"/>
          <w:szCs w:val="28"/>
        </w:rPr>
      </w:pPr>
      <w:r w:rsidRPr="004B486D">
        <w:rPr>
          <w:rFonts w:ascii="Arial" w:hAnsi="Arial" w:cs="Arial"/>
          <w:b/>
          <w:bCs/>
          <w:sz w:val="28"/>
          <w:szCs w:val="28"/>
        </w:rPr>
        <w:t xml:space="preserve">Disability, Higher Education, teaching and Learning Bibliography </w:t>
      </w:r>
      <w:r w:rsidR="00AE5766">
        <w:rPr>
          <w:rFonts w:ascii="Arial" w:hAnsi="Arial" w:cs="Arial"/>
          <w:b/>
          <w:bCs/>
          <w:sz w:val="28"/>
          <w:szCs w:val="28"/>
        </w:rPr>
        <w:t xml:space="preserve">October/ November </w:t>
      </w:r>
      <w:r w:rsidRPr="004B486D">
        <w:rPr>
          <w:rFonts w:ascii="Arial" w:hAnsi="Arial" w:cs="Arial"/>
          <w:b/>
          <w:bCs/>
          <w:sz w:val="28"/>
          <w:szCs w:val="28"/>
        </w:rPr>
        <w:t>2023</w:t>
      </w:r>
    </w:p>
    <w:p w14:paraId="31D0E392" w14:textId="35B7201F" w:rsidR="0084250F" w:rsidRDefault="0084250F" w:rsidP="005259BD">
      <w:pPr>
        <w:rPr>
          <w:rFonts w:ascii="Arial" w:hAnsi="Arial" w:cs="Arial"/>
          <w:b/>
          <w:bCs/>
          <w:sz w:val="28"/>
          <w:szCs w:val="28"/>
        </w:rPr>
      </w:pPr>
    </w:p>
    <w:p w14:paraId="4D58150F" w14:textId="2964BE65" w:rsidR="0084250F" w:rsidRDefault="0084250F" w:rsidP="005259BD">
      <w:pPr>
        <w:rPr>
          <w:rFonts w:ascii="Arial" w:hAnsi="Arial" w:cs="Arial"/>
          <w:b/>
          <w:bCs/>
          <w:sz w:val="28"/>
          <w:szCs w:val="28"/>
        </w:rPr>
      </w:pPr>
      <w:r>
        <w:rPr>
          <w:rFonts w:ascii="Arial" w:hAnsi="Arial" w:cs="Arial"/>
          <w:b/>
          <w:bCs/>
          <w:sz w:val="28"/>
          <w:szCs w:val="28"/>
        </w:rPr>
        <w:t>Teaching and Learning</w:t>
      </w:r>
    </w:p>
    <w:p w14:paraId="18E90442" w14:textId="3E550A1B" w:rsidR="005D25BC" w:rsidRDefault="005D25BC" w:rsidP="005259BD">
      <w:pPr>
        <w:rPr>
          <w:rFonts w:ascii="Arial" w:hAnsi="Arial" w:cs="Arial"/>
          <w:b/>
          <w:bCs/>
          <w:sz w:val="28"/>
          <w:szCs w:val="28"/>
        </w:rPr>
      </w:pPr>
    </w:p>
    <w:p w14:paraId="10FC6FF4" w14:textId="6593C59D" w:rsidR="005D25BC" w:rsidRDefault="005D25BC" w:rsidP="005D25BC">
      <w:pPr>
        <w:ind w:hanging="240"/>
        <w:rPr>
          <w:rFonts w:ascii="Arial" w:eastAsia="Times New Roman" w:hAnsi="Arial" w:cs="Arial"/>
          <w:kern w:val="0"/>
          <w:sz w:val="24"/>
          <w:szCs w:val="24"/>
          <w:lang w:eastAsia="en-GB"/>
          <w14:ligatures w14:val="none"/>
        </w:rPr>
      </w:pPr>
      <w:r>
        <w:rPr>
          <w:rFonts w:ascii="Arial" w:eastAsia="Times New Roman" w:hAnsi="Arial" w:cs="Arial"/>
          <w:kern w:val="0"/>
          <w:sz w:val="24"/>
          <w:szCs w:val="24"/>
          <w:lang w:eastAsia="en-GB"/>
          <w14:ligatures w14:val="none"/>
        </w:rPr>
        <w:t xml:space="preserve">   </w:t>
      </w:r>
      <w:r w:rsidRPr="005D25BC">
        <w:rPr>
          <w:rFonts w:ascii="Arial" w:eastAsia="Times New Roman" w:hAnsi="Arial" w:cs="Arial"/>
          <w:kern w:val="0"/>
          <w:sz w:val="24"/>
          <w:szCs w:val="24"/>
          <w:lang w:eastAsia="en-GB"/>
          <w14:ligatures w14:val="none"/>
        </w:rPr>
        <w:t xml:space="preserve">Augustus, J., Goodall, D., &amp; Williams, B. (2023). Does the role of personal academic tutor have an impact on staff wellbeing? </w:t>
      </w:r>
      <w:r w:rsidRPr="005D25BC">
        <w:rPr>
          <w:rFonts w:ascii="Arial" w:eastAsia="Times New Roman" w:hAnsi="Arial" w:cs="Arial"/>
          <w:i/>
          <w:iCs/>
          <w:kern w:val="0"/>
          <w:sz w:val="24"/>
          <w:szCs w:val="24"/>
          <w:lang w:eastAsia="en-GB"/>
          <w14:ligatures w14:val="none"/>
        </w:rPr>
        <w:t>Research in Post-Compulsory Education</w:t>
      </w:r>
      <w:r w:rsidRPr="005D25BC">
        <w:rPr>
          <w:rFonts w:ascii="Arial" w:eastAsia="Times New Roman" w:hAnsi="Arial" w:cs="Arial"/>
          <w:kern w:val="0"/>
          <w:sz w:val="24"/>
          <w:szCs w:val="24"/>
          <w:lang w:eastAsia="en-GB"/>
          <w14:ligatures w14:val="none"/>
        </w:rPr>
        <w:t xml:space="preserve">, </w:t>
      </w:r>
      <w:r w:rsidRPr="005D25BC">
        <w:rPr>
          <w:rFonts w:ascii="Arial" w:eastAsia="Times New Roman" w:hAnsi="Arial" w:cs="Arial"/>
          <w:i/>
          <w:iCs/>
          <w:kern w:val="0"/>
          <w:sz w:val="24"/>
          <w:szCs w:val="24"/>
          <w:lang w:eastAsia="en-GB"/>
          <w14:ligatures w14:val="none"/>
        </w:rPr>
        <w:t>28</w:t>
      </w:r>
      <w:r w:rsidRPr="005D25BC">
        <w:rPr>
          <w:rFonts w:ascii="Arial" w:eastAsia="Times New Roman" w:hAnsi="Arial" w:cs="Arial"/>
          <w:kern w:val="0"/>
          <w:sz w:val="24"/>
          <w:szCs w:val="24"/>
          <w:lang w:eastAsia="en-GB"/>
          <w14:ligatures w14:val="none"/>
        </w:rPr>
        <w:t xml:space="preserve">(4), 693–719. </w:t>
      </w:r>
      <w:hyperlink r:id="rId7" w:history="1">
        <w:r w:rsidRPr="004F258A">
          <w:rPr>
            <w:rStyle w:val="Hyperlink"/>
            <w:rFonts w:ascii="Arial" w:eastAsia="Times New Roman" w:hAnsi="Arial" w:cs="Arial"/>
            <w:kern w:val="0"/>
            <w:sz w:val="24"/>
            <w:szCs w:val="24"/>
            <w:lang w:eastAsia="en-GB"/>
            <w14:ligatures w14:val="none"/>
          </w:rPr>
          <w:t>https://doi.org/10.1080/13596748.2023.2253656</w:t>
        </w:r>
      </w:hyperlink>
      <w:r>
        <w:rPr>
          <w:rFonts w:ascii="Arial" w:eastAsia="Times New Roman" w:hAnsi="Arial" w:cs="Arial"/>
          <w:kern w:val="0"/>
          <w:sz w:val="24"/>
          <w:szCs w:val="24"/>
          <w:lang w:eastAsia="en-GB"/>
          <w14:ligatures w14:val="none"/>
        </w:rPr>
        <w:br/>
      </w:r>
    </w:p>
    <w:p w14:paraId="24077138" w14:textId="51CDF744" w:rsidR="005D25BC" w:rsidRPr="005D25BC" w:rsidRDefault="005D25BC" w:rsidP="005D25BC">
      <w:pPr>
        <w:ind w:hanging="240"/>
        <w:rPr>
          <w:rFonts w:ascii="Arial" w:eastAsia="Times New Roman" w:hAnsi="Arial" w:cs="Arial"/>
          <w:kern w:val="0"/>
          <w:sz w:val="24"/>
          <w:szCs w:val="24"/>
          <w:lang w:eastAsia="en-GB"/>
          <w14:ligatures w14:val="none"/>
        </w:rPr>
      </w:pPr>
      <w:r>
        <w:rPr>
          <w:rFonts w:ascii="Arial" w:eastAsia="Times New Roman" w:hAnsi="Arial" w:cs="Arial"/>
          <w:kern w:val="0"/>
          <w:sz w:val="24"/>
          <w:szCs w:val="24"/>
          <w:lang w:eastAsia="en-GB"/>
          <w14:ligatures w14:val="none"/>
        </w:rPr>
        <w:t xml:space="preserve">   Abstract: </w:t>
      </w:r>
      <w:r w:rsidRPr="005D25BC">
        <w:rPr>
          <w:rFonts w:ascii="Arial" w:hAnsi="Arial" w:cs="Arial"/>
          <w:color w:val="333333"/>
          <w:sz w:val="24"/>
          <w:szCs w:val="24"/>
        </w:rPr>
        <w:t xml:space="preserve">This paper explores the experience of acting as a personal academic tutor (PAT) at a medium sized University in the West Midlands. The researchers aimed to establish the robustness of the PAT system, with a focus on wellbeing of both staff and students. This research took place within the context of growing concerns for student and staff wellbeing. A thematic analysis (n) 26 full time employees with at least 1-year PAT experience identified 3 key </w:t>
      </w:r>
      <w:proofErr w:type="gramStart"/>
      <w:r w:rsidRPr="005D25BC">
        <w:rPr>
          <w:rFonts w:ascii="Arial" w:hAnsi="Arial" w:cs="Arial"/>
          <w:color w:val="333333"/>
          <w:sz w:val="24"/>
          <w:szCs w:val="24"/>
        </w:rPr>
        <w:t>themes;</w:t>
      </w:r>
      <w:proofErr w:type="gramEnd"/>
      <w:r w:rsidRPr="005D25BC">
        <w:rPr>
          <w:rFonts w:ascii="Arial" w:hAnsi="Arial" w:cs="Arial"/>
          <w:color w:val="333333"/>
          <w:sz w:val="24"/>
          <w:szCs w:val="24"/>
        </w:rPr>
        <w:t xml:space="preserve"> self, others/ systems and resilience. Subordinate themes within each </w:t>
      </w:r>
      <w:proofErr w:type="gramStart"/>
      <w:r w:rsidRPr="005D25BC">
        <w:rPr>
          <w:rFonts w:ascii="Arial" w:hAnsi="Arial" w:cs="Arial"/>
          <w:color w:val="333333"/>
          <w:sz w:val="24"/>
          <w:szCs w:val="24"/>
        </w:rPr>
        <w:t>include;</w:t>
      </w:r>
      <w:proofErr w:type="gramEnd"/>
      <w:r w:rsidRPr="005D25BC">
        <w:rPr>
          <w:rFonts w:ascii="Arial" w:hAnsi="Arial" w:cs="Arial"/>
          <w:color w:val="333333"/>
          <w:sz w:val="24"/>
          <w:szCs w:val="24"/>
        </w:rPr>
        <w:t xml:space="preserve"> Burden, self as context, mental health, resilience, boundaries, deployment, experience systems and support. The researchers then re-examined the thematic data through the lens of Transactional Analysis. </w:t>
      </w:r>
      <w:proofErr w:type="spellStart"/>
      <w:r w:rsidRPr="005D25BC">
        <w:rPr>
          <w:rFonts w:ascii="Arial" w:hAnsi="Arial" w:cs="Arial"/>
          <w:color w:val="333333"/>
          <w:sz w:val="24"/>
          <w:szCs w:val="24"/>
        </w:rPr>
        <w:t>Karpmans</w:t>
      </w:r>
      <w:proofErr w:type="spellEnd"/>
      <w:r w:rsidRPr="005D25BC">
        <w:rPr>
          <w:rFonts w:ascii="Arial" w:hAnsi="Arial" w:cs="Arial"/>
          <w:color w:val="333333"/>
          <w:sz w:val="24"/>
          <w:szCs w:val="24"/>
        </w:rPr>
        <w:t>’ (1968, 40-42) drama triangle became evident in the development within the PAT student relationship and its incumbent complexity. The effects on staff wellbeing were discussed and found to have both positive and negative consequences. As part of future PAT training the researchers would suggest using the drama triangle for staff to reflect honestly on current positions in their PAT relationships. This should present possibilities in each relationship of movement towards the winner's triangle and reduce the emotional burden of the PAT while increasing student self-efficacy.</w:t>
      </w:r>
    </w:p>
    <w:p w14:paraId="5F717524" w14:textId="77777777" w:rsidR="005D25BC" w:rsidRDefault="005D25BC" w:rsidP="005259BD">
      <w:pPr>
        <w:rPr>
          <w:rFonts w:ascii="Arial" w:hAnsi="Arial" w:cs="Arial"/>
          <w:b/>
          <w:bCs/>
          <w:sz w:val="28"/>
          <w:szCs w:val="28"/>
        </w:rPr>
      </w:pPr>
    </w:p>
    <w:p w14:paraId="043F6A33" w14:textId="0FD9E851" w:rsidR="0084250F" w:rsidRPr="0084250F" w:rsidRDefault="0084250F" w:rsidP="005259BD">
      <w:pPr>
        <w:rPr>
          <w:rFonts w:ascii="Arial" w:hAnsi="Arial" w:cs="Arial"/>
          <w:b/>
          <w:bCs/>
          <w:sz w:val="24"/>
          <w:szCs w:val="24"/>
        </w:rPr>
      </w:pPr>
    </w:p>
    <w:p w14:paraId="101B75C7" w14:textId="250EFEBB" w:rsidR="0084250F" w:rsidRPr="0084250F" w:rsidRDefault="0084250F" w:rsidP="0084250F">
      <w:pPr>
        <w:ind w:hanging="240"/>
        <w:rPr>
          <w:rFonts w:ascii="Arial" w:eastAsia="Times New Roman" w:hAnsi="Arial" w:cs="Arial"/>
          <w:kern w:val="0"/>
          <w:sz w:val="24"/>
          <w:szCs w:val="24"/>
          <w:lang w:eastAsia="en-GB"/>
          <w14:ligatures w14:val="none"/>
        </w:rPr>
      </w:pPr>
      <w:r w:rsidRPr="0084250F">
        <w:rPr>
          <w:rFonts w:ascii="Arial" w:eastAsia="Times New Roman" w:hAnsi="Arial" w:cs="Arial"/>
          <w:kern w:val="0"/>
          <w:sz w:val="24"/>
          <w:szCs w:val="24"/>
          <w:lang w:eastAsia="en-GB"/>
          <w14:ligatures w14:val="none"/>
        </w:rPr>
        <w:t xml:space="preserve">   </w:t>
      </w:r>
      <w:r w:rsidRPr="0084250F">
        <w:rPr>
          <w:rFonts w:ascii="Arial" w:eastAsia="Times New Roman" w:hAnsi="Arial" w:cs="Arial"/>
          <w:kern w:val="0"/>
          <w:sz w:val="24"/>
          <w:szCs w:val="24"/>
          <w:lang w:eastAsia="en-GB"/>
          <w14:ligatures w14:val="none"/>
        </w:rPr>
        <w:t xml:space="preserve">Simons, R. N., </w:t>
      </w:r>
      <w:proofErr w:type="spellStart"/>
      <w:r w:rsidRPr="0084250F">
        <w:rPr>
          <w:rFonts w:ascii="Arial" w:eastAsia="Times New Roman" w:hAnsi="Arial" w:cs="Arial"/>
          <w:kern w:val="0"/>
          <w:sz w:val="24"/>
          <w:szCs w:val="24"/>
          <w:lang w:eastAsia="en-GB"/>
          <w14:ligatures w14:val="none"/>
        </w:rPr>
        <w:t>Mallary</w:t>
      </w:r>
      <w:proofErr w:type="spellEnd"/>
      <w:r w:rsidRPr="0084250F">
        <w:rPr>
          <w:rFonts w:ascii="Arial" w:eastAsia="Times New Roman" w:hAnsi="Arial" w:cs="Arial"/>
          <w:kern w:val="0"/>
          <w:sz w:val="24"/>
          <w:szCs w:val="24"/>
          <w:lang w:eastAsia="en-GB"/>
          <w14:ligatures w14:val="none"/>
        </w:rPr>
        <w:t xml:space="preserve">, K. J., </w:t>
      </w:r>
      <w:proofErr w:type="spellStart"/>
      <w:r w:rsidRPr="0084250F">
        <w:rPr>
          <w:rFonts w:ascii="Arial" w:eastAsia="Times New Roman" w:hAnsi="Arial" w:cs="Arial"/>
          <w:kern w:val="0"/>
          <w:sz w:val="24"/>
          <w:szCs w:val="24"/>
          <w:lang w:eastAsia="en-GB"/>
          <w14:ligatures w14:val="none"/>
        </w:rPr>
        <w:t>Nikiema</w:t>
      </w:r>
      <w:proofErr w:type="spellEnd"/>
      <w:r w:rsidRPr="0084250F">
        <w:rPr>
          <w:rFonts w:ascii="Arial" w:eastAsia="Times New Roman" w:hAnsi="Arial" w:cs="Arial"/>
          <w:kern w:val="0"/>
          <w:sz w:val="24"/>
          <w:szCs w:val="24"/>
          <w:lang w:eastAsia="en-GB"/>
          <w14:ligatures w14:val="none"/>
        </w:rPr>
        <w:t xml:space="preserve">, J., Dorman, E. J., &amp; Copeland, C. A. (2023). Below the Surface: </w:t>
      </w:r>
      <w:proofErr w:type="spellStart"/>
      <w:r w:rsidRPr="0084250F">
        <w:rPr>
          <w:rFonts w:ascii="Arial" w:eastAsia="Times New Roman" w:hAnsi="Arial" w:cs="Arial"/>
          <w:kern w:val="0"/>
          <w:sz w:val="24"/>
          <w:szCs w:val="24"/>
          <w:lang w:eastAsia="en-GB"/>
          <w14:ligatures w14:val="none"/>
        </w:rPr>
        <w:t>Analyzing</w:t>
      </w:r>
      <w:proofErr w:type="spellEnd"/>
      <w:r w:rsidRPr="0084250F">
        <w:rPr>
          <w:rFonts w:ascii="Arial" w:eastAsia="Times New Roman" w:hAnsi="Arial" w:cs="Arial"/>
          <w:kern w:val="0"/>
          <w:sz w:val="24"/>
          <w:szCs w:val="24"/>
          <w:lang w:eastAsia="en-GB"/>
          <w14:ligatures w14:val="none"/>
        </w:rPr>
        <w:t xml:space="preserve"> the Level of Detail and Depth of Coverage in Library and Information Science Syllabi Addressing Disability and Accessibility. </w:t>
      </w:r>
      <w:r w:rsidRPr="0084250F">
        <w:rPr>
          <w:rFonts w:ascii="Arial" w:eastAsia="Times New Roman" w:hAnsi="Arial" w:cs="Arial"/>
          <w:i/>
          <w:iCs/>
          <w:kern w:val="0"/>
          <w:sz w:val="24"/>
          <w:szCs w:val="24"/>
          <w:lang w:eastAsia="en-GB"/>
          <w14:ligatures w14:val="none"/>
        </w:rPr>
        <w:t>Proceedings of the Association for Information Science and Technology</w:t>
      </w:r>
      <w:r w:rsidRPr="0084250F">
        <w:rPr>
          <w:rFonts w:ascii="Arial" w:eastAsia="Times New Roman" w:hAnsi="Arial" w:cs="Arial"/>
          <w:kern w:val="0"/>
          <w:sz w:val="24"/>
          <w:szCs w:val="24"/>
          <w:lang w:eastAsia="en-GB"/>
          <w14:ligatures w14:val="none"/>
        </w:rPr>
        <w:t xml:space="preserve">, </w:t>
      </w:r>
      <w:r w:rsidRPr="0084250F">
        <w:rPr>
          <w:rFonts w:ascii="Arial" w:eastAsia="Times New Roman" w:hAnsi="Arial" w:cs="Arial"/>
          <w:i/>
          <w:iCs/>
          <w:kern w:val="0"/>
          <w:sz w:val="24"/>
          <w:szCs w:val="24"/>
          <w:lang w:eastAsia="en-GB"/>
          <w14:ligatures w14:val="none"/>
        </w:rPr>
        <w:t>60</w:t>
      </w:r>
      <w:r w:rsidRPr="0084250F">
        <w:rPr>
          <w:rFonts w:ascii="Arial" w:eastAsia="Times New Roman" w:hAnsi="Arial" w:cs="Arial"/>
          <w:kern w:val="0"/>
          <w:sz w:val="24"/>
          <w:szCs w:val="24"/>
          <w:lang w:eastAsia="en-GB"/>
          <w14:ligatures w14:val="none"/>
        </w:rPr>
        <w:t xml:space="preserve">(1), 697–701. </w:t>
      </w:r>
      <w:hyperlink r:id="rId8" w:history="1">
        <w:r w:rsidRPr="0084250F">
          <w:rPr>
            <w:rStyle w:val="Hyperlink"/>
            <w:rFonts w:ascii="Arial" w:eastAsia="Times New Roman" w:hAnsi="Arial" w:cs="Arial"/>
            <w:kern w:val="0"/>
            <w:sz w:val="24"/>
            <w:szCs w:val="24"/>
            <w:lang w:eastAsia="en-GB"/>
            <w14:ligatures w14:val="none"/>
          </w:rPr>
          <w:t>https://doi.org/10.1002/pra2.842</w:t>
        </w:r>
      </w:hyperlink>
      <w:r w:rsidRPr="0084250F">
        <w:rPr>
          <w:rFonts w:ascii="Arial" w:eastAsia="Times New Roman" w:hAnsi="Arial" w:cs="Arial"/>
          <w:kern w:val="0"/>
          <w:sz w:val="24"/>
          <w:szCs w:val="24"/>
          <w:lang w:eastAsia="en-GB"/>
          <w14:ligatures w14:val="none"/>
        </w:rPr>
        <w:br/>
      </w:r>
    </w:p>
    <w:p w14:paraId="08821C5A" w14:textId="33286B25" w:rsidR="0084250F" w:rsidRPr="0084250F" w:rsidRDefault="0084250F" w:rsidP="0084250F">
      <w:pPr>
        <w:rPr>
          <w:rFonts w:ascii="Arial" w:hAnsi="Arial" w:cs="Arial"/>
          <w:sz w:val="24"/>
          <w:szCs w:val="24"/>
        </w:rPr>
      </w:pPr>
      <w:r w:rsidRPr="0084250F">
        <w:rPr>
          <w:rFonts w:ascii="Arial" w:hAnsi="Arial" w:cs="Arial"/>
          <w:sz w:val="24"/>
          <w:szCs w:val="24"/>
        </w:rPr>
        <w:t>A</w:t>
      </w:r>
      <w:r w:rsidRPr="0084250F">
        <w:rPr>
          <w:rFonts w:ascii="Arial" w:hAnsi="Arial" w:cs="Arial"/>
          <w:sz w:val="24"/>
          <w:szCs w:val="24"/>
        </w:rPr>
        <w:t>bstract:</w:t>
      </w:r>
      <w:r w:rsidRPr="0084250F">
        <w:rPr>
          <w:rFonts w:ascii="Arial" w:hAnsi="Arial" w:cs="Arial"/>
          <w:sz w:val="24"/>
          <w:szCs w:val="24"/>
        </w:rPr>
        <w:t xml:space="preserve"> </w:t>
      </w:r>
    </w:p>
    <w:p w14:paraId="02865FFF" w14:textId="331FB438" w:rsidR="0084250F" w:rsidRPr="0084250F" w:rsidRDefault="0084250F" w:rsidP="0084250F">
      <w:pPr>
        <w:rPr>
          <w:rFonts w:ascii="Arial" w:hAnsi="Arial" w:cs="Arial"/>
          <w:sz w:val="24"/>
          <w:szCs w:val="24"/>
        </w:rPr>
      </w:pPr>
      <w:r w:rsidRPr="0084250F">
        <w:rPr>
          <w:rFonts w:ascii="Arial" w:hAnsi="Arial" w:cs="Arial"/>
          <w:sz w:val="24"/>
          <w:szCs w:val="24"/>
        </w:rPr>
        <w:t xml:space="preserve">While accessibility is a core part of diversity, equity, inclusion, accessibility, and social justice (DEIASJ) considerations, disability and accessibility are rarely </w:t>
      </w:r>
      <w:proofErr w:type="spellStart"/>
      <w:r w:rsidRPr="0084250F">
        <w:rPr>
          <w:rFonts w:ascii="Arial" w:hAnsi="Arial" w:cs="Arial"/>
          <w:sz w:val="24"/>
          <w:szCs w:val="24"/>
        </w:rPr>
        <w:t>centered</w:t>
      </w:r>
      <w:proofErr w:type="spellEnd"/>
      <w:r w:rsidRPr="0084250F">
        <w:rPr>
          <w:rFonts w:ascii="Arial" w:hAnsi="Arial" w:cs="Arial"/>
          <w:sz w:val="24"/>
          <w:szCs w:val="24"/>
        </w:rPr>
        <w:t xml:space="preserve"> in Library and Information Science (LIS) curricula. The lack of disability and accessibility coverage is problematic since information professionals must have the required knowledge and skills to effectively serve patrons with disabilities. This paper presents preliminary findings from a content analysis of 39 pre</w:t>
      </w:r>
      <w:r w:rsidRPr="0084250F">
        <w:rPr>
          <w:rFonts w:ascii="Cambria Math" w:hAnsi="Cambria Math" w:cs="Cambria Math"/>
          <w:sz w:val="24"/>
          <w:szCs w:val="24"/>
        </w:rPr>
        <w:t>‐</w:t>
      </w:r>
      <w:r w:rsidRPr="0084250F">
        <w:rPr>
          <w:rFonts w:ascii="Arial" w:hAnsi="Arial" w:cs="Arial"/>
          <w:sz w:val="24"/>
          <w:szCs w:val="24"/>
        </w:rPr>
        <w:t xml:space="preserve">filtered syllabi examining how disability and accessibility topics are covered in LIS courses. While nearly </w:t>
      </w:r>
      <w:proofErr w:type="gramStart"/>
      <w:r w:rsidRPr="0084250F">
        <w:rPr>
          <w:rFonts w:ascii="Arial" w:hAnsi="Arial" w:cs="Arial"/>
          <w:sz w:val="24"/>
          <w:szCs w:val="24"/>
        </w:rPr>
        <w:t>all of</w:t>
      </w:r>
      <w:proofErr w:type="gramEnd"/>
      <w:r w:rsidRPr="0084250F">
        <w:rPr>
          <w:rFonts w:ascii="Arial" w:hAnsi="Arial" w:cs="Arial"/>
          <w:sz w:val="24"/>
          <w:szCs w:val="24"/>
        </w:rPr>
        <w:t xml:space="preserve"> the syllabi </w:t>
      </w:r>
      <w:proofErr w:type="spellStart"/>
      <w:r w:rsidRPr="0084250F">
        <w:rPr>
          <w:rFonts w:ascii="Arial" w:hAnsi="Arial" w:cs="Arial"/>
          <w:sz w:val="24"/>
          <w:szCs w:val="24"/>
        </w:rPr>
        <w:t>analyzed</w:t>
      </w:r>
      <w:proofErr w:type="spellEnd"/>
      <w:r w:rsidRPr="0084250F">
        <w:rPr>
          <w:rFonts w:ascii="Arial" w:hAnsi="Arial" w:cs="Arial"/>
          <w:sz w:val="24"/>
          <w:szCs w:val="24"/>
        </w:rPr>
        <w:t xml:space="preserve"> contained a high level of detail, only 13 were ultimately determined to contain a “partial” depth of coverage of disability</w:t>
      </w:r>
      <w:r w:rsidRPr="0084250F">
        <w:rPr>
          <w:rFonts w:ascii="Cambria Math" w:hAnsi="Cambria Math" w:cs="Cambria Math"/>
          <w:sz w:val="24"/>
          <w:szCs w:val="24"/>
        </w:rPr>
        <w:t>‐</w:t>
      </w:r>
      <w:r w:rsidRPr="0084250F">
        <w:rPr>
          <w:rFonts w:ascii="Arial" w:hAnsi="Arial" w:cs="Arial"/>
          <w:sz w:val="24"/>
          <w:szCs w:val="24"/>
        </w:rPr>
        <w:t xml:space="preserve"> and accessibility</w:t>
      </w:r>
      <w:r w:rsidRPr="0084250F">
        <w:rPr>
          <w:rFonts w:ascii="Cambria Math" w:hAnsi="Cambria Math" w:cs="Cambria Math"/>
          <w:sz w:val="24"/>
          <w:szCs w:val="24"/>
        </w:rPr>
        <w:t>‐</w:t>
      </w:r>
      <w:r w:rsidRPr="0084250F">
        <w:rPr>
          <w:rFonts w:ascii="Arial" w:hAnsi="Arial" w:cs="Arial"/>
          <w:sz w:val="24"/>
          <w:szCs w:val="24"/>
        </w:rPr>
        <w:t>related content and two a “detailed” level of coverage. Even fewer syllabi included a conceptualization of disability or accessibility beyond simply including the words alone. The paper offers suggestions for LIS instructors to better address disability and accessibility within their syllabi and course content.</w:t>
      </w:r>
    </w:p>
    <w:p w14:paraId="35B23156" w14:textId="77777777" w:rsidR="0084250F" w:rsidRDefault="0084250F" w:rsidP="005259BD">
      <w:pPr>
        <w:rPr>
          <w:rFonts w:ascii="Arial" w:hAnsi="Arial" w:cs="Arial"/>
          <w:b/>
          <w:bCs/>
          <w:sz w:val="28"/>
          <w:szCs w:val="28"/>
        </w:rPr>
      </w:pPr>
    </w:p>
    <w:p w14:paraId="6C38E9E1" w14:textId="63BE5CD4" w:rsidR="005D25BC" w:rsidRPr="005D25BC" w:rsidRDefault="005D25BC" w:rsidP="005D25BC">
      <w:pPr>
        <w:ind w:hanging="240"/>
        <w:rPr>
          <w:rFonts w:ascii="Arial" w:eastAsia="Times New Roman" w:hAnsi="Arial" w:cs="Arial"/>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lastRenderedPageBreak/>
        <w:t xml:space="preserve">   </w:t>
      </w:r>
      <w:proofErr w:type="spellStart"/>
      <w:r w:rsidRPr="005D25BC">
        <w:rPr>
          <w:rFonts w:ascii="Arial" w:eastAsia="Times New Roman" w:hAnsi="Arial" w:cs="Arial"/>
          <w:kern w:val="0"/>
          <w:sz w:val="24"/>
          <w:szCs w:val="24"/>
          <w:lang w:eastAsia="en-GB"/>
          <w14:ligatures w14:val="none"/>
        </w:rPr>
        <w:t>Upsher</w:t>
      </w:r>
      <w:proofErr w:type="spellEnd"/>
      <w:r w:rsidRPr="005D25BC">
        <w:rPr>
          <w:rFonts w:ascii="Arial" w:eastAsia="Times New Roman" w:hAnsi="Arial" w:cs="Arial"/>
          <w:kern w:val="0"/>
          <w:sz w:val="24"/>
          <w:szCs w:val="24"/>
          <w:lang w:eastAsia="en-GB"/>
          <w14:ligatures w14:val="none"/>
        </w:rPr>
        <w:t xml:space="preserve">, R., Percy, Z., </w:t>
      </w:r>
      <w:proofErr w:type="spellStart"/>
      <w:r w:rsidRPr="005D25BC">
        <w:rPr>
          <w:rFonts w:ascii="Arial" w:eastAsia="Times New Roman" w:hAnsi="Arial" w:cs="Arial"/>
          <w:kern w:val="0"/>
          <w:sz w:val="24"/>
          <w:szCs w:val="24"/>
          <w:lang w:eastAsia="en-GB"/>
          <w14:ligatures w14:val="none"/>
        </w:rPr>
        <w:t>Cappiello</w:t>
      </w:r>
      <w:proofErr w:type="spellEnd"/>
      <w:r w:rsidRPr="005D25BC">
        <w:rPr>
          <w:rFonts w:ascii="Arial" w:eastAsia="Times New Roman" w:hAnsi="Arial" w:cs="Arial"/>
          <w:kern w:val="0"/>
          <w:sz w:val="24"/>
          <w:szCs w:val="24"/>
          <w:lang w:eastAsia="en-GB"/>
          <w14:ligatures w14:val="none"/>
        </w:rPr>
        <w:t xml:space="preserve">, L., </w:t>
      </w:r>
      <w:proofErr w:type="spellStart"/>
      <w:r w:rsidRPr="005D25BC">
        <w:rPr>
          <w:rFonts w:ascii="Arial" w:eastAsia="Times New Roman" w:hAnsi="Arial" w:cs="Arial"/>
          <w:kern w:val="0"/>
          <w:sz w:val="24"/>
          <w:szCs w:val="24"/>
          <w:lang w:eastAsia="en-GB"/>
          <w14:ligatures w14:val="none"/>
        </w:rPr>
        <w:t>Byrom</w:t>
      </w:r>
      <w:proofErr w:type="spellEnd"/>
      <w:r w:rsidRPr="005D25BC">
        <w:rPr>
          <w:rFonts w:ascii="Arial" w:eastAsia="Times New Roman" w:hAnsi="Arial" w:cs="Arial"/>
          <w:kern w:val="0"/>
          <w:sz w:val="24"/>
          <w:szCs w:val="24"/>
          <w:lang w:eastAsia="en-GB"/>
          <w14:ligatures w14:val="none"/>
        </w:rPr>
        <w:t xml:space="preserve">, N., Hughes, G., Oates, J., Nobili, A., </w:t>
      </w:r>
      <w:proofErr w:type="spellStart"/>
      <w:r w:rsidRPr="005D25BC">
        <w:rPr>
          <w:rFonts w:ascii="Arial" w:eastAsia="Times New Roman" w:hAnsi="Arial" w:cs="Arial"/>
          <w:kern w:val="0"/>
          <w:sz w:val="24"/>
          <w:szCs w:val="24"/>
          <w:lang w:eastAsia="en-GB"/>
          <w14:ligatures w14:val="none"/>
        </w:rPr>
        <w:t>Rakow</w:t>
      </w:r>
      <w:proofErr w:type="spellEnd"/>
      <w:r w:rsidRPr="005D25BC">
        <w:rPr>
          <w:rFonts w:ascii="Arial" w:eastAsia="Times New Roman" w:hAnsi="Arial" w:cs="Arial"/>
          <w:kern w:val="0"/>
          <w:sz w:val="24"/>
          <w:szCs w:val="24"/>
          <w:lang w:eastAsia="en-GB"/>
          <w14:ligatures w14:val="none"/>
        </w:rPr>
        <w:t xml:space="preserve">, K., </w:t>
      </w:r>
      <w:proofErr w:type="spellStart"/>
      <w:r w:rsidRPr="005D25BC">
        <w:rPr>
          <w:rFonts w:ascii="Arial" w:eastAsia="Times New Roman" w:hAnsi="Arial" w:cs="Arial"/>
          <w:kern w:val="0"/>
          <w:sz w:val="24"/>
          <w:szCs w:val="24"/>
          <w:lang w:eastAsia="en-GB"/>
          <w14:ligatures w14:val="none"/>
        </w:rPr>
        <w:t>Anaukwu</w:t>
      </w:r>
      <w:proofErr w:type="spellEnd"/>
      <w:r w:rsidRPr="005D25BC">
        <w:rPr>
          <w:rFonts w:ascii="Arial" w:eastAsia="Times New Roman" w:hAnsi="Arial" w:cs="Arial"/>
          <w:kern w:val="0"/>
          <w:sz w:val="24"/>
          <w:szCs w:val="24"/>
          <w:lang w:eastAsia="en-GB"/>
          <w14:ligatures w14:val="none"/>
        </w:rPr>
        <w:t xml:space="preserve">, C., &amp; Foster, J. (2023). Understanding how the university curriculum impacts student wellbeing: a qualitative study. </w:t>
      </w:r>
      <w:r w:rsidRPr="005D25BC">
        <w:rPr>
          <w:rFonts w:ascii="Arial" w:eastAsia="Times New Roman" w:hAnsi="Arial" w:cs="Arial"/>
          <w:i/>
          <w:iCs/>
          <w:kern w:val="0"/>
          <w:sz w:val="24"/>
          <w:szCs w:val="24"/>
          <w:lang w:eastAsia="en-GB"/>
          <w14:ligatures w14:val="none"/>
        </w:rPr>
        <w:t>Higher Education</w:t>
      </w:r>
      <w:r w:rsidRPr="005D25BC">
        <w:rPr>
          <w:rFonts w:ascii="Arial" w:eastAsia="Times New Roman" w:hAnsi="Arial" w:cs="Arial"/>
          <w:kern w:val="0"/>
          <w:sz w:val="24"/>
          <w:szCs w:val="24"/>
          <w:lang w:eastAsia="en-GB"/>
          <w14:ligatures w14:val="none"/>
        </w:rPr>
        <w:t xml:space="preserve">, </w:t>
      </w:r>
      <w:r w:rsidRPr="005D25BC">
        <w:rPr>
          <w:rFonts w:ascii="Arial" w:eastAsia="Times New Roman" w:hAnsi="Arial" w:cs="Arial"/>
          <w:i/>
          <w:iCs/>
          <w:kern w:val="0"/>
          <w:sz w:val="24"/>
          <w:szCs w:val="24"/>
          <w:lang w:eastAsia="en-GB"/>
          <w14:ligatures w14:val="none"/>
        </w:rPr>
        <w:t>86</w:t>
      </w:r>
      <w:r w:rsidRPr="005D25BC">
        <w:rPr>
          <w:rFonts w:ascii="Arial" w:eastAsia="Times New Roman" w:hAnsi="Arial" w:cs="Arial"/>
          <w:kern w:val="0"/>
          <w:sz w:val="24"/>
          <w:szCs w:val="24"/>
          <w:lang w:eastAsia="en-GB"/>
          <w14:ligatures w14:val="none"/>
        </w:rPr>
        <w:t xml:space="preserve">(5), 1213–1232. </w:t>
      </w:r>
      <w:hyperlink r:id="rId9" w:history="1">
        <w:r w:rsidRPr="005D25BC">
          <w:rPr>
            <w:rStyle w:val="Hyperlink"/>
            <w:rFonts w:ascii="Arial" w:eastAsia="Times New Roman" w:hAnsi="Arial" w:cs="Arial"/>
            <w:kern w:val="0"/>
            <w:sz w:val="24"/>
            <w:szCs w:val="24"/>
            <w:lang w:eastAsia="en-GB"/>
            <w14:ligatures w14:val="none"/>
          </w:rPr>
          <w:t>https://doi.org/10.1007/s10734-022-00969-8</w:t>
        </w:r>
      </w:hyperlink>
      <w:r w:rsidRPr="005D25BC">
        <w:rPr>
          <w:rFonts w:ascii="Arial" w:eastAsia="Times New Roman" w:hAnsi="Arial" w:cs="Arial"/>
          <w:kern w:val="0"/>
          <w:sz w:val="24"/>
          <w:szCs w:val="24"/>
          <w:lang w:eastAsia="en-GB"/>
          <w14:ligatures w14:val="none"/>
        </w:rPr>
        <w:br/>
      </w:r>
    </w:p>
    <w:p w14:paraId="3DD67D92" w14:textId="3A5A922C" w:rsidR="005D25BC" w:rsidRPr="005D25BC" w:rsidRDefault="005D25BC" w:rsidP="005D25BC">
      <w:pPr>
        <w:rPr>
          <w:rFonts w:ascii="Arial" w:hAnsi="Arial" w:cs="Arial"/>
          <w:sz w:val="24"/>
          <w:szCs w:val="24"/>
        </w:rPr>
      </w:pPr>
      <w:r w:rsidRPr="005D25BC">
        <w:rPr>
          <w:rFonts w:ascii="Arial" w:hAnsi="Arial" w:cs="Arial"/>
          <w:sz w:val="24"/>
          <w:szCs w:val="24"/>
        </w:rPr>
        <w:t>Abstract</w:t>
      </w:r>
      <w:r w:rsidRPr="005D25BC">
        <w:rPr>
          <w:rFonts w:ascii="Arial" w:hAnsi="Arial" w:cs="Arial"/>
          <w:sz w:val="24"/>
          <w:szCs w:val="24"/>
        </w:rPr>
        <w:t xml:space="preserve">: </w:t>
      </w:r>
      <w:r w:rsidRPr="005D25BC">
        <w:rPr>
          <w:rFonts w:ascii="Arial" w:hAnsi="Arial" w:cs="Arial"/>
          <w:sz w:val="24"/>
          <w:szCs w:val="24"/>
        </w:rPr>
        <w:t>There is increasing pressure within universities to address student mental health. From a whole university or settings-based perspective, this could include curriculum-embedded approaches. There is little research about how this should work or what approaches might be most effective. Semi -structured interviews were conducted with fifty-seven undergraduate students from five disciplines (Psychology, English studies, Nursing, International Politics, and War Studies) to understand students’ perspectives. Students reflected on wellbeing module content and, more broadly, on curriculum processes (teaching, pedagogy, assessment) within their degree. Reflexive thematic analysis was applied to transcripts, generating three themes: embedding wellbeing in the curriculum; assessment, challenge, and academic support; and social connection and interaction. The findings provide evidence for teaching, pedagogy, and assessment practices supporting higher education student wellbeing. These align with recommended good teaching practices, such as considering appropriate assessment methods followed by effective feedback. Students saw the benefits of being academically challenged if scaffolded appropriately. Strong peer connection, teacher-student interaction, and communication were crucial to learning and wellbeing. These findings provide implications for future curriculum design that can support learning and wellbeing.</w:t>
      </w:r>
    </w:p>
    <w:p w14:paraId="1C85BCF1" w14:textId="51AE2BF0" w:rsidR="0084250F" w:rsidRDefault="0084250F" w:rsidP="005259BD">
      <w:pPr>
        <w:rPr>
          <w:rFonts w:ascii="Arial" w:hAnsi="Arial" w:cs="Arial"/>
          <w:b/>
          <w:bCs/>
          <w:sz w:val="28"/>
          <w:szCs w:val="28"/>
        </w:rPr>
      </w:pPr>
    </w:p>
    <w:p w14:paraId="21D86D7B" w14:textId="77777777" w:rsidR="0084250F" w:rsidRPr="004B486D" w:rsidRDefault="0084250F" w:rsidP="005259BD">
      <w:pPr>
        <w:rPr>
          <w:rFonts w:ascii="Arial" w:hAnsi="Arial" w:cs="Arial"/>
          <w:b/>
          <w:bCs/>
          <w:sz w:val="28"/>
          <w:szCs w:val="28"/>
        </w:rPr>
      </w:pPr>
    </w:p>
    <w:p w14:paraId="5EC28B0E" w14:textId="7140D481" w:rsidR="0040508B" w:rsidRDefault="00234B90" w:rsidP="0040508B">
      <w:pPr>
        <w:rPr>
          <w:rFonts w:ascii="Arial" w:hAnsi="Arial" w:cs="Arial"/>
          <w:b/>
          <w:bCs/>
          <w:sz w:val="28"/>
          <w:szCs w:val="28"/>
        </w:rPr>
      </w:pPr>
      <w:r w:rsidRPr="0040508B">
        <w:rPr>
          <w:rFonts w:ascii="Arial" w:hAnsi="Arial" w:cs="Arial"/>
          <w:b/>
          <w:bCs/>
          <w:sz w:val="28"/>
          <w:szCs w:val="28"/>
        </w:rPr>
        <w:t>Stigma</w:t>
      </w:r>
    </w:p>
    <w:p w14:paraId="5F254283" w14:textId="337579ED" w:rsidR="0084250F" w:rsidRDefault="0084250F" w:rsidP="0040508B">
      <w:pPr>
        <w:rPr>
          <w:rFonts w:ascii="Arial" w:hAnsi="Arial" w:cs="Arial"/>
          <w:b/>
          <w:bCs/>
          <w:sz w:val="28"/>
          <w:szCs w:val="28"/>
        </w:rPr>
      </w:pPr>
    </w:p>
    <w:p w14:paraId="3CD346E0" w14:textId="2AA32FED" w:rsidR="0084250F" w:rsidRPr="0084250F" w:rsidRDefault="0084250F" w:rsidP="0040508B">
      <w:pPr>
        <w:rPr>
          <w:rFonts w:ascii="Arial" w:hAnsi="Arial" w:cs="Arial"/>
          <w:sz w:val="24"/>
          <w:szCs w:val="24"/>
        </w:rPr>
      </w:pPr>
      <w:r w:rsidRPr="0084250F">
        <w:rPr>
          <w:rFonts w:ascii="Arial" w:hAnsi="Arial" w:cs="Arial"/>
          <w:sz w:val="24"/>
          <w:szCs w:val="24"/>
        </w:rPr>
        <w:t xml:space="preserve"> </w:t>
      </w:r>
      <w:proofErr w:type="spellStart"/>
      <w:r w:rsidRPr="0084250F">
        <w:rPr>
          <w:rFonts w:ascii="Arial" w:hAnsi="Arial" w:cs="Arial"/>
          <w:sz w:val="24"/>
          <w:szCs w:val="24"/>
        </w:rPr>
        <w:t>Wolbring</w:t>
      </w:r>
      <w:proofErr w:type="spellEnd"/>
      <w:r w:rsidRPr="0084250F">
        <w:rPr>
          <w:rFonts w:ascii="Arial" w:hAnsi="Arial" w:cs="Arial"/>
          <w:sz w:val="24"/>
          <w:szCs w:val="24"/>
        </w:rPr>
        <w:t xml:space="preserve">, G., &amp; Lillywhite, A. (2023). Coverage of </w:t>
      </w:r>
      <w:r>
        <w:rPr>
          <w:rFonts w:ascii="Arial" w:hAnsi="Arial" w:cs="Arial"/>
          <w:sz w:val="24"/>
          <w:szCs w:val="24"/>
        </w:rPr>
        <w:t>a</w:t>
      </w:r>
      <w:r w:rsidRPr="0084250F">
        <w:rPr>
          <w:rFonts w:ascii="Arial" w:hAnsi="Arial" w:cs="Arial"/>
          <w:sz w:val="24"/>
          <w:szCs w:val="24"/>
        </w:rPr>
        <w:t xml:space="preserve">llies, </w:t>
      </w:r>
      <w:r>
        <w:rPr>
          <w:rFonts w:ascii="Arial" w:hAnsi="Arial" w:cs="Arial"/>
          <w:sz w:val="24"/>
          <w:szCs w:val="24"/>
        </w:rPr>
        <w:t>a</w:t>
      </w:r>
      <w:r w:rsidRPr="0084250F">
        <w:rPr>
          <w:rFonts w:ascii="Arial" w:hAnsi="Arial" w:cs="Arial"/>
          <w:sz w:val="24"/>
          <w:szCs w:val="24"/>
        </w:rPr>
        <w:t xml:space="preserve">llyship and </w:t>
      </w:r>
      <w:r>
        <w:rPr>
          <w:rFonts w:ascii="Arial" w:hAnsi="Arial" w:cs="Arial"/>
          <w:sz w:val="24"/>
          <w:szCs w:val="24"/>
        </w:rPr>
        <w:t>d</w:t>
      </w:r>
      <w:r w:rsidRPr="0084250F">
        <w:rPr>
          <w:rFonts w:ascii="Arial" w:hAnsi="Arial" w:cs="Arial"/>
          <w:sz w:val="24"/>
          <w:szCs w:val="24"/>
        </w:rPr>
        <w:t xml:space="preserve">isabled </w:t>
      </w:r>
      <w:r>
        <w:rPr>
          <w:rFonts w:ascii="Arial" w:hAnsi="Arial" w:cs="Arial"/>
          <w:sz w:val="24"/>
          <w:szCs w:val="24"/>
        </w:rPr>
        <w:t>p</w:t>
      </w:r>
      <w:r w:rsidRPr="0084250F">
        <w:rPr>
          <w:rFonts w:ascii="Arial" w:hAnsi="Arial" w:cs="Arial"/>
          <w:sz w:val="24"/>
          <w:szCs w:val="24"/>
        </w:rPr>
        <w:t xml:space="preserve">eople: A </w:t>
      </w:r>
      <w:r>
        <w:rPr>
          <w:rFonts w:ascii="Arial" w:hAnsi="Arial" w:cs="Arial"/>
          <w:sz w:val="24"/>
          <w:szCs w:val="24"/>
        </w:rPr>
        <w:t>s</w:t>
      </w:r>
      <w:r w:rsidRPr="0084250F">
        <w:rPr>
          <w:rFonts w:ascii="Arial" w:hAnsi="Arial" w:cs="Arial"/>
          <w:sz w:val="24"/>
          <w:szCs w:val="24"/>
        </w:rPr>
        <w:t xml:space="preserve">coping </w:t>
      </w:r>
      <w:r>
        <w:rPr>
          <w:rFonts w:ascii="Arial" w:hAnsi="Arial" w:cs="Arial"/>
          <w:sz w:val="24"/>
          <w:szCs w:val="24"/>
        </w:rPr>
        <w:t>r</w:t>
      </w:r>
      <w:r w:rsidRPr="0084250F">
        <w:rPr>
          <w:rFonts w:ascii="Arial" w:hAnsi="Arial" w:cs="Arial"/>
          <w:sz w:val="24"/>
          <w:szCs w:val="24"/>
        </w:rPr>
        <w:t>eview</w:t>
      </w:r>
      <w:r w:rsidRPr="0084250F">
        <w:rPr>
          <w:rFonts w:ascii="Arial" w:hAnsi="Arial" w:cs="Arial"/>
          <w:i/>
          <w:iCs/>
          <w:sz w:val="24"/>
          <w:szCs w:val="24"/>
        </w:rPr>
        <w:t>. Societies, 13(11</w:t>
      </w:r>
      <w:r w:rsidRPr="0084250F">
        <w:rPr>
          <w:rFonts w:ascii="Arial" w:hAnsi="Arial" w:cs="Arial"/>
          <w:sz w:val="24"/>
          <w:szCs w:val="24"/>
        </w:rPr>
        <w:t>), 241. https://doi.org/10.3390/soc13110241</w:t>
      </w:r>
    </w:p>
    <w:p w14:paraId="718A9958" w14:textId="6D29BB0E" w:rsidR="00366C6B" w:rsidRDefault="00366C6B" w:rsidP="0040508B">
      <w:pPr>
        <w:rPr>
          <w:rFonts w:ascii="Arial" w:hAnsi="Arial" w:cs="Arial"/>
          <w:b/>
          <w:bCs/>
          <w:sz w:val="28"/>
          <w:szCs w:val="28"/>
        </w:rPr>
      </w:pPr>
    </w:p>
    <w:p w14:paraId="58BAB291" w14:textId="0DA1C8CA" w:rsidR="00366C6B" w:rsidRPr="0084250F" w:rsidRDefault="0084250F" w:rsidP="00366C6B">
      <w:pPr>
        <w:rPr>
          <w:rFonts w:ascii="Arial" w:hAnsi="Arial" w:cs="Arial"/>
          <w:color w:val="222222"/>
          <w:sz w:val="24"/>
          <w:szCs w:val="24"/>
          <w:shd w:val="clear" w:color="auto" w:fill="FFFFFF"/>
        </w:rPr>
      </w:pPr>
      <w:r w:rsidRPr="0084250F">
        <w:rPr>
          <w:rFonts w:ascii="Arial" w:hAnsi="Arial" w:cs="Arial"/>
          <w:color w:val="222222"/>
          <w:sz w:val="24"/>
          <w:szCs w:val="24"/>
          <w:shd w:val="clear" w:color="auto" w:fill="FFFFFF"/>
        </w:rPr>
        <w:t xml:space="preserve">Abstract: </w:t>
      </w:r>
      <w:r w:rsidR="00366C6B" w:rsidRPr="0084250F">
        <w:rPr>
          <w:rFonts w:ascii="Arial" w:hAnsi="Arial" w:cs="Arial"/>
          <w:color w:val="222222"/>
          <w:sz w:val="24"/>
          <w:szCs w:val="24"/>
          <w:shd w:val="clear" w:color="auto" w:fill="FFFFFF"/>
        </w:rPr>
        <w:t xml:space="preserve">Disabled people face many problems in their lived reality, as evidenced by the content of the UN Convention on the Rights of Persons with Disabilities. Disabled people are constantly engaged in activism to decrease their problems. However, disabled people cannot do all the work by themselves and need allies (who can be so-called non-disabled people or disabled people of a different background to other disabled people) given the many barriers disabled people face in being activists, given the precarious lived reality of many, and given the many problems in need of solving. At the same time, the expectations linked to being an authentic ally of disabled people pose many challenges and stressors and a danger of burnout for the ally. Therefore, the aim of this study was to better understand the academic coverage of allyship and allies in relation to disabled people in general, and specifically the coverage of challenges, stressors, and danger of burnout for allies of disabled people. To </w:t>
      </w:r>
      <w:proofErr w:type="spellStart"/>
      <w:r w:rsidR="00366C6B" w:rsidRPr="0084250F">
        <w:rPr>
          <w:rFonts w:ascii="Arial" w:hAnsi="Arial" w:cs="Arial"/>
          <w:color w:val="222222"/>
          <w:sz w:val="24"/>
          <w:szCs w:val="24"/>
          <w:shd w:val="clear" w:color="auto" w:fill="FFFFFF"/>
        </w:rPr>
        <w:t>fulfill</w:t>
      </w:r>
      <w:proofErr w:type="spellEnd"/>
      <w:r w:rsidR="00366C6B" w:rsidRPr="0084250F">
        <w:rPr>
          <w:rFonts w:ascii="Arial" w:hAnsi="Arial" w:cs="Arial"/>
          <w:color w:val="222222"/>
          <w:sz w:val="24"/>
          <w:szCs w:val="24"/>
          <w:shd w:val="clear" w:color="auto" w:fill="FFFFFF"/>
        </w:rPr>
        <w:t xml:space="preserve"> this aim, we performed a scoping review of academic abstracts and full texts employing SCOPUS, the seventy databases of the EBSCO-HOST and the Web of Science. Of the 577 abstracts, covering allies and allyship in relation to disabled people that were downloaded, 306 were false positives. Of the 271 relevant ones, the content of six abstracts suggested a deeper coverage of allyship/allies in the full texts. Within the full texts, two mentioned ally burnout and </w:t>
      </w:r>
      <w:r w:rsidR="00366C6B" w:rsidRPr="0084250F">
        <w:rPr>
          <w:rFonts w:ascii="Arial" w:hAnsi="Arial" w:cs="Arial"/>
          <w:color w:val="222222"/>
          <w:sz w:val="24"/>
          <w:szCs w:val="24"/>
          <w:shd w:val="clear" w:color="auto" w:fill="FFFFFF"/>
        </w:rPr>
        <w:lastRenderedPageBreak/>
        <w:t xml:space="preserve">four mentioned challenges faced by allies. Among the 271 abstracts, 86 abstracts mentioned allies without indicating who the allies were, 111 abstracts mentioned specific allies with technology as an ally being mentioned second highest. Sixty-three abstracts covered specific topics of activism for allies. Furthermore, although searching abstracts for equity, diversity, and inclusion (EDI) related phrases, terms, and policy frameworks generated sixty-three abstracts, only three abstracts mentioned disabled people. Abstracts containing science and technology </w:t>
      </w:r>
      <w:proofErr w:type="gramStart"/>
      <w:r w:rsidR="00366C6B" w:rsidRPr="0084250F">
        <w:rPr>
          <w:rFonts w:ascii="Arial" w:hAnsi="Arial" w:cs="Arial"/>
          <w:color w:val="222222"/>
          <w:sz w:val="24"/>
          <w:szCs w:val="24"/>
          <w:shd w:val="clear" w:color="auto" w:fill="FFFFFF"/>
        </w:rPr>
        <w:t>governance</w:t>
      </w:r>
      <w:proofErr w:type="gramEnd"/>
      <w:r w:rsidR="00366C6B" w:rsidRPr="0084250F">
        <w:rPr>
          <w:rFonts w:ascii="Arial" w:hAnsi="Arial" w:cs="Arial"/>
          <w:color w:val="222222"/>
          <w:sz w:val="24"/>
          <w:szCs w:val="24"/>
          <w:shd w:val="clear" w:color="auto" w:fill="FFFFFF"/>
        </w:rPr>
        <w:t xml:space="preserve"> or technology focused ethics fields terms did not generate any hits with the terms ally or allies or allyship. Searching abstracts and full texts, phrases containing ally or allies or allyship and burnout had 0 hits, ally terms with stress* generated four hits and phrases containing anti-ableism, or anti disablism, anti-</w:t>
      </w:r>
      <w:proofErr w:type="spellStart"/>
      <w:r w:rsidR="00366C6B" w:rsidRPr="0084250F">
        <w:rPr>
          <w:rFonts w:ascii="Arial" w:hAnsi="Arial" w:cs="Arial"/>
          <w:color w:val="222222"/>
          <w:sz w:val="24"/>
          <w:szCs w:val="24"/>
          <w:shd w:val="clear" w:color="auto" w:fill="FFFFFF"/>
        </w:rPr>
        <w:t>disableist</w:t>
      </w:r>
      <w:proofErr w:type="spellEnd"/>
      <w:r w:rsidR="00366C6B" w:rsidRPr="0084250F">
        <w:rPr>
          <w:rFonts w:ascii="Arial" w:hAnsi="Arial" w:cs="Arial"/>
          <w:color w:val="222222"/>
          <w:sz w:val="24"/>
          <w:szCs w:val="24"/>
          <w:shd w:val="clear" w:color="auto" w:fill="FFFFFF"/>
        </w:rPr>
        <w:t>, anti-disablist, anti-</w:t>
      </w:r>
      <w:proofErr w:type="spellStart"/>
      <w:r w:rsidR="00366C6B" w:rsidRPr="0084250F">
        <w:rPr>
          <w:rFonts w:ascii="Arial" w:hAnsi="Arial" w:cs="Arial"/>
          <w:color w:val="222222"/>
          <w:sz w:val="24"/>
          <w:szCs w:val="24"/>
          <w:shd w:val="clear" w:color="auto" w:fill="FFFFFF"/>
        </w:rPr>
        <w:t>ablist</w:t>
      </w:r>
      <w:proofErr w:type="spellEnd"/>
      <w:r w:rsidR="00366C6B" w:rsidRPr="0084250F">
        <w:rPr>
          <w:rFonts w:ascii="Arial" w:hAnsi="Arial" w:cs="Arial"/>
          <w:color w:val="222222"/>
          <w:sz w:val="24"/>
          <w:szCs w:val="24"/>
          <w:shd w:val="clear" w:color="auto" w:fill="FFFFFF"/>
        </w:rPr>
        <w:t>, or anti-ableist with ally terms had 0 hits. Our findings show many gaps in the coverage of allies and allyship in relation to disabled people especially around the barriers, stressors, and burnout that authentic allies of disabled people can face. These gaps should be filled given that disabled people need allies and that there are many challenges for being an authentic disabled or non-disabled ally of disabled people.</w:t>
      </w:r>
      <w:r>
        <w:rPr>
          <w:rFonts w:ascii="Arial" w:hAnsi="Arial" w:cs="Arial"/>
          <w:color w:val="222222"/>
          <w:sz w:val="24"/>
          <w:szCs w:val="24"/>
          <w:shd w:val="clear" w:color="auto" w:fill="FFFFFF"/>
        </w:rPr>
        <w:br/>
      </w:r>
    </w:p>
    <w:p w14:paraId="74F9EC1D" w14:textId="77777777" w:rsidR="00366C6B" w:rsidRPr="0040508B" w:rsidRDefault="00366C6B" w:rsidP="0040508B">
      <w:pPr>
        <w:rPr>
          <w:rFonts w:ascii="Arial" w:hAnsi="Arial" w:cs="Arial"/>
          <w:b/>
          <w:bCs/>
          <w:sz w:val="28"/>
          <w:szCs w:val="28"/>
        </w:rPr>
      </w:pPr>
    </w:p>
    <w:p w14:paraId="4C8E8DD8" w14:textId="6DC32035" w:rsidR="0084250F" w:rsidRPr="0084250F" w:rsidRDefault="0084250F" w:rsidP="0084250F">
      <w:pPr>
        <w:rPr>
          <w:rFonts w:ascii="Arial" w:hAnsi="Arial" w:cs="Arial"/>
          <w:sz w:val="24"/>
          <w:szCs w:val="24"/>
        </w:rPr>
      </w:pPr>
      <w:proofErr w:type="spellStart"/>
      <w:r w:rsidRPr="0084250F">
        <w:rPr>
          <w:rFonts w:ascii="Arial" w:hAnsi="Arial" w:cs="Arial"/>
          <w:sz w:val="24"/>
          <w:szCs w:val="24"/>
        </w:rPr>
        <w:t>Wolbring</w:t>
      </w:r>
      <w:proofErr w:type="spellEnd"/>
      <w:r w:rsidRPr="0084250F">
        <w:rPr>
          <w:rFonts w:ascii="Arial" w:hAnsi="Arial" w:cs="Arial"/>
          <w:sz w:val="24"/>
          <w:szCs w:val="24"/>
        </w:rPr>
        <w:t xml:space="preserve">, G., &amp; Lillywhite, A. (2023). Burnout through the </w:t>
      </w:r>
      <w:r>
        <w:rPr>
          <w:rFonts w:ascii="Arial" w:hAnsi="Arial" w:cs="Arial"/>
          <w:sz w:val="24"/>
          <w:szCs w:val="24"/>
        </w:rPr>
        <w:t>l</w:t>
      </w:r>
      <w:r w:rsidRPr="0084250F">
        <w:rPr>
          <w:rFonts w:ascii="Arial" w:hAnsi="Arial" w:cs="Arial"/>
          <w:sz w:val="24"/>
          <w:szCs w:val="24"/>
        </w:rPr>
        <w:t xml:space="preserve">enses of </w:t>
      </w:r>
      <w:r>
        <w:rPr>
          <w:rFonts w:ascii="Arial" w:hAnsi="Arial" w:cs="Arial"/>
          <w:sz w:val="24"/>
          <w:szCs w:val="24"/>
        </w:rPr>
        <w:t>e</w:t>
      </w:r>
      <w:r w:rsidRPr="0084250F">
        <w:rPr>
          <w:rFonts w:ascii="Arial" w:hAnsi="Arial" w:cs="Arial"/>
          <w:sz w:val="24"/>
          <w:szCs w:val="24"/>
        </w:rPr>
        <w:t>quity/</w:t>
      </w:r>
      <w:r>
        <w:rPr>
          <w:rFonts w:ascii="Arial" w:hAnsi="Arial" w:cs="Arial"/>
          <w:sz w:val="24"/>
          <w:szCs w:val="24"/>
        </w:rPr>
        <w:t>e</w:t>
      </w:r>
      <w:r w:rsidRPr="0084250F">
        <w:rPr>
          <w:rFonts w:ascii="Arial" w:hAnsi="Arial" w:cs="Arial"/>
          <w:sz w:val="24"/>
          <w:szCs w:val="24"/>
        </w:rPr>
        <w:t xml:space="preserve">quality, </w:t>
      </w:r>
      <w:r>
        <w:rPr>
          <w:rFonts w:ascii="Arial" w:hAnsi="Arial" w:cs="Arial"/>
          <w:sz w:val="24"/>
          <w:szCs w:val="24"/>
        </w:rPr>
        <w:t>d</w:t>
      </w:r>
      <w:r w:rsidRPr="0084250F">
        <w:rPr>
          <w:rFonts w:ascii="Arial" w:hAnsi="Arial" w:cs="Arial"/>
          <w:sz w:val="24"/>
          <w:szCs w:val="24"/>
        </w:rPr>
        <w:t xml:space="preserve">iversity and </w:t>
      </w:r>
      <w:r>
        <w:rPr>
          <w:rFonts w:ascii="Arial" w:hAnsi="Arial" w:cs="Arial"/>
          <w:sz w:val="24"/>
          <w:szCs w:val="24"/>
        </w:rPr>
        <w:t>i</w:t>
      </w:r>
      <w:r w:rsidRPr="0084250F">
        <w:rPr>
          <w:rFonts w:ascii="Arial" w:hAnsi="Arial" w:cs="Arial"/>
          <w:sz w:val="24"/>
          <w:szCs w:val="24"/>
        </w:rPr>
        <w:t xml:space="preserve">nclusion and </w:t>
      </w:r>
      <w:r>
        <w:rPr>
          <w:rFonts w:ascii="Arial" w:hAnsi="Arial" w:cs="Arial"/>
          <w:sz w:val="24"/>
          <w:szCs w:val="24"/>
        </w:rPr>
        <w:t>d</w:t>
      </w:r>
      <w:r w:rsidRPr="0084250F">
        <w:rPr>
          <w:rFonts w:ascii="Arial" w:hAnsi="Arial" w:cs="Arial"/>
          <w:sz w:val="24"/>
          <w:szCs w:val="24"/>
        </w:rPr>
        <w:t xml:space="preserve">isabled </w:t>
      </w:r>
      <w:r>
        <w:rPr>
          <w:rFonts w:ascii="Arial" w:hAnsi="Arial" w:cs="Arial"/>
          <w:sz w:val="24"/>
          <w:szCs w:val="24"/>
        </w:rPr>
        <w:t>p</w:t>
      </w:r>
      <w:r w:rsidRPr="0084250F">
        <w:rPr>
          <w:rFonts w:ascii="Arial" w:hAnsi="Arial" w:cs="Arial"/>
          <w:sz w:val="24"/>
          <w:szCs w:val="24"/>
        </w:rPr>
        <w:t xml:space="preserve">eople: A </w:t>
      </w:r>
      <w:r>
        <w:rPr>
          <w:rFonts w:ascii="Arial" w:hAnsi="Arial" w:cs="Arial"/>
          <w:sz w:val="24"/>
          <w:szCs w:val="24"/>
        </w:rPr>
        <w:t>s</w:t>
      </w:r>
      <w:r w:rsidRPr="0084250F">
        <w:rPr>
          <w:rFonts w:ascii="Arial" w:hAnsi="Arial" w:cs="Arial"/>
          <w:sz w:val="24"/>
          <w:szCs w:val="24"/>
        </w:rPr>
        <w:t xml:space="preserve">coping </w:t>
      </w:r>
      <w:r>
        <w:rPr>
          <w:rFonts w:ascii="Arial" w:hAnsi="Arial" w:cs="Arial"/>
          <w:sz w:val="24"/>
          <w:szCs w:val="24"/>
        </w:rPr>
        <w:t>r</w:t>
      </w:r>
      <w:r w:rsidRPr="0084250F">
        <w:rPr>
          <w:rFonts w:ascii="Arial" w:hAnsi="Arial" w:cs="Arial"/>
          <w:sz w:val="24"/>
          <w:szCs w:val="24"/>
        </w:rPr>
        <w:t xml:space="preserve">eview. </w:t>
      </w:r>
      <w:r w:rsidRPr="0084250F">
        <w:rPr>
          <w:rFonts w:ascii="Arial" w:hAnsi="Arial" w:cs="Arial"/>
          <w:i/>
          <w:iCs/>
          <w:sz w:val="24"/>
          <w:szCs w:val="24"/>
        </w:rPr>
        <w:t>Societies, 13(5),</w:t>
      </w:r>
      <w:r w:rsidRPr="0084250F">
        <w:rPr>
          <w:rFonts w:ascii="Arial" w:hAnsi="Arial" w:cs="Arial"/>
          <w:sz w:val="24"/>
          <w:szCs w:val="24"/>
        </w:rPr>
        <w:t xml:space="preserve"> 131. </w:t>
      </w:r>
      <w:hyperlink r:id="rId10" w:history="1">
        <w:r w:rsidR="005D25BC" w:rsidRPr="004F258A">
          <w:rPr>
            <w:rStyle w:val="Hyperlink"/>
            <w:rFonts w:ascii="Arial" w:hAnsi="Arial" w:cs="Arial"/>
            <w:sz w:val="24"/>
            <w:szCs w:val="24"/>
          </w:rPr>
          <w:t>https://doi.org/10.3390/soc13050131</w:t>
        </w:r>
      </w:hyperlink>
      <w:r w:rsidR="005D25BC">
        <w:rPr>
          <w:rFonts w:ascii="Arial" w:hAnsi="Arial" w:cs="Arial"/>
          <w:sz w:val="24"/>
          <w:szCs w:val="24"/>
        </w:rPr>
        <w:br/>
      </w:r>
    </w:p>
    <w:p w14:paraId="02E9752D" w14:textId="13E48624" w:rsidR="00234B90" w:rsidRPr="0040508B" w:rsidRDefault="0084250F" w:rsidP="0084250F">
      <w:pPr>
        <w:rPr>
          <w:rFonts w:ascii="Arial" w:hAnsi="Arial" w:cs="Arial"/>
          <w:sz w:val="24"/>
          <w:szCs w:val="24"/>
        </w:rPr>
      </w:pPr>
      <w:r w:rsidRPr="0084250F">
        <w:rPr>
          <w:rFonts w:ascii="Arial" w:hAnsi="Arial" w:cs="Arial"/>
          <w:sz w:val="24"/>
          <w:szCs w:val="24"/>
        </w:rPr>
        <w:t>Abstract: Burnout is a problem within the workplace including in higher education, the activity of activism, and in reaction to experiencing systemic discrimination in daily life. Disabled people face problems in all of these areas and therefore are in danger of experiencing “disability burnout”</w:t>
      </w:r>
      <w:proofErr w:type="gramStart"/>
      <w:r w:rsidRPr="0084250F">
        <w:rPr>
          <w:rFonts w:ascii="Arial" w:hAnsi="Arial" w:cs="Arial"/>
          <w:sz w:val="24"/>
          <w:szCs w:val="24"/>
        </w:rPr>
        <w:t>/”disablism</w:t>
      </w:r>
      <w:proofErr w:type="gramEnd"/>
      <w:r w:rsidRPr="0084250F">
        <w:rPr>
          <w:rFonts w:ascii="Arial" w:hAnsi="Arial" w:cs="Arial"/>
          <w:sz w:val="24"/>
          <w:szCs w:val="24"/>
        </w:rPr>
        <w:t xml:space="preserve"> burnout”. Equity/equality, diversity, and inclusion” (EDI) linked actions are employed to improve the workplace, especially for marginalized groups including disabled people. How burnout is discussed and what burnout data is generated in the academic literature in relation to EDI and disabled people influences burnout policies, education, and research related to EDI and to disabled people. Therefore, we performed a scoping review study of academic abstracts employing SCOPUS, the 70 databases of EBSCO-HOST and Web of Science with the aim to obtain a better understanding of the academic coverage of burnout concerning disabled people and EDI. We found only 14 relevant abstracts when searching for 12 EDI phrases and five EDI policy frameworks. Within the 764 abstracts covering burnout and different disability terms, a biased coverage around disabled people was evident with disabled people being mostly mentioned as the cause of burnout experienced by others. Only 30 abstracts covered the burnout of disabled people, with eight using the term “autistic burnout”. Disabled activists’ burnout was not covered. No abstract contained the phrase “disability burnout”, but seven relevant hits were obtained using full-text searches of Google Scholar. Our findings suggest that important data is missing to guide evidence-based decision making around burnout and EDI and burnout of disabled people.</w:t>
      </w:r>
    </w:p>
    <w:p w14:paraId="677FAE8A" w14:textId="70CE9C60" w:rsidR="00234B90" w:rsidRPr="004B486D" w:rsidRDefault="00234B90" w:rsidP="005259BD">
      <w:pPr>
        <w:rPr>
          <w:rFonts w:ascii="Arial" w:hAnsi="Arial" w:cs="Arial"/>
          <w:sz w:val="24"/>
          <w:szCs w:val="24"/>
        </w:rPr>
      </w:pPr>
    </w:p>
    <w:p w14:paraId="6BFDF4EB" w14:textId="415203FD" w:rsidR="00234B90" w:rsidRDefault="00234B90" w:rsidP="00234B90">
      <w:pPr>
        <w:rPr>
          <w:rFonts w:ascii="Arial" w:hAnsi="Arial" w:cs="Arial"/>
          <w:b/>
          <w:bCs/>
          <w:sz w:val="24"/>
          <w:szCs w:val="24"/>
        </w:rPr>
      </w:pPr>
      <w:r w:rsidRPr="004B486D">
        <w:rPr>
          <w:rFonts w:ascii="Arial" w:hAnsi="Arial" w:cs="Arial"/>
          <w:b/>
          <w:bCs/>
          <w:sz w:val="24"/>
          <w:szCs w:val="24"/>
        </w:rPr>
        <w:t>Mental Health</w:t>
      </w:r>
    </w:p>
    <w:p w14:paraId="73338E9E" w14:textId="25ACD54A" w:rsidR="0084250F" w:rsidRPr="005D25BC" w:rsidRDefault="005D25BC" w:rsidP="005D25BC">
      <w:pPr>
        <w:ind w:hanging="240"/>
        <w:rPr>
          <w:rFonts w:ascii="Arial" w:eastAsia="Times New Roman" w:hAnsi="Arial" w:cs="Arial"/>
          <w:kern w:val="0"/>
          <w:sz w:val="24"/>
          <w:szCs w:val="24"/>
          <w:lang w:eastAsia="en-GB"/>
          <w14:ligatures w14:val="none"/>
        </w:rPr>
      </w:pPr>
      <w:r>
        <w:rPr>
          <w:rFonts w:ascii="Arial" w:eastAsia="Times New Roman" w:hAnsi="Arial" w:cs="Arial"/>
          <w:kern w:val="0"/>
          <w:sz w:val="24"/>
          <w:szCs w:val="24"/>
          <w:lang w:eastAsia="en-GB"/>
          <w14:ligatures w14:val="none"/>
        </w:rPr>
        <w:t xml:space="preserve">   </w:t>
      </w:r>
      <w:r w:rsidR="0084250F" w:rsidRPr="005D25BC">
        <w:rPr>
          <w:rFonts w:ascii="Arial" w:eastAsia="Times New Roman" w:hAnsi="Arial" w:cs="Arial"/>
          <w:kern w:val="0"/>
          <w:sz w:val="24"/>
          <w:szCs w:val="24"/>
          <w:lang w:eastAsia="en-GB"/>
          <w14:ligatures w14:val="none"/>
        </w:rPr>
        <w:t xml:space="preserve">Allen, R., </w:t>
      </w:r>
      <w:proofErr w:type="spellStart"/>
      <w:r w:rsidR="0084250F" w:rsidRPr="005D25BC">
        <w:rPr>
          <w:rFonts w:ascii="Arial" w:eastAsia="Times New Roman" w:hAnsi="Arial" w:cs="Arial"/>
          <w:kern w:val="0"/>
          <w:sz w:val="24"/>
          <w:szCs w:val="24"/>
          <w:lang w:eastAsia="en-GB"/>
          <w14:ligatures w14:val="none"/>
        </w:rPr>
        <w:t>Kannangara</w:t>
      </w:r>
      <w:proofErr w:type="spellEnd"/>
      <w:r w:rsidR="0084250F" w:rsidRPr="005D25BC">
        <w:rPr>
          <w:rFonts w:ascii="Arial" w:eastAsia="Times New Roman" w:hAnsi="Arial" w:cs="Arial"/>
          <w:kern w:val="0"/>
          <w:sz w:val="24"/>
          <w:szCs w:val="24"/>
          <w:lang w:eastAsia="en-GB"/>
          <w14:ligatures w14:val="none"/>
        </w:rPr>
        <w:t>, C., &amp; Carson, J. (2023).</w:t>
      </w:r>
      <w:r w:rsidRPr="005D25BC">
        <w:rPr>
          <w:rFonts w:ascii="Arial" w:eastAsia="Times New Roman" w:hAnsi="Arial" w:cs="Arial"/>
          <w:kern w:val="0"/>
          <w:sz w:val="24"/>
          <w:szCs w:val="24"/>
          <w:lang w:eastAsia="en-GB"/>
          <w14:ligatures w14:val="none"/>
        </w:rPr>
        <w:t xml:space="preserve"> </w:t>
      </w:r>
      <w:r w:rsidRPr="005D25BC">
        <w:rPr>
          <w:rFonts w:ascii="Arial" w:eastAsia="Times New Roman" w:hAnsi="Arial" w:cs="Arial"/>
          <w:kern w:val="0"/>
          <w:sz w:val="24"/>
          <w:szCs w:val="24"/>
          <w:lang w:eastAsia="en-GB"/>
          <w14:ligatures w14:val="none"/>
        </w:rPr>
        <w:t>L</w:t>
      </w:r>
      <w:r w:rsidRPr="005D25BC">
        <w:rPr>
          <w:rFonts w:ascii="Arial" w:eastAsia="Times New Roman" w:hAnsi="Arial" w:cs="Arial"/>
          <w:kern w:val="0"/>
          <w:sz w:val="24"/>
          <w:szCs w:val="24"/>
          <w:lang w:eastAsia="en-GB"/>
          <w14:ligatures w14:val="none"/>
        </w:rPr>
        <w:t xml:space="preserve">ong-term mental health impacts of the covid-19 pandemic on university students in the </w:t>
      </w:r>
      <w:r w:rsidRPr="005D25BC">
        <w:rPr>
          <w:rFonts w:ascii="Arial" w:eastAsia="Times New Roman" w:hAnsi="Arial" w:cs="Arial"/>
          <w:kern w:val="0"/>
          <w:sz w:val="24"/>
          <w:szCs w:val="24"/>
          <w:lang w:eastAsia="en-GB"/>
          <w14:ligatures w14:val="none"/>
        </w:rPr>
        <w:t>UK</w:t>
      </w:r>
      <w:r w:rsidRPr="005D25BC">
        <w:rPr>
          <w:rFonts w:ascii="Arial" w:eastAsia="Times New Roman" w:hAnsi="Arial" w:cs="Arial"/>
          <w:kern w:val="0"/>
          <w:sz w:val="24"/>
          <w:szCs w:val="24"/>
          <w:lang w:eastAsia="en-GB"/>
          <w14:ligatures w14:val="none"/>
        </w:rPr>
        <w:t xml:space="preserve">: </w:t>
      </w:r>
      <w:r w:rsidRPr="005D25BC">
        <w:rPr>
          <w:rFonts w:ascii="Arial" w:eastAsia="Times New Roman" w:hAnsi="Arial" w:cs="Arial"/>
          <w:kern w:val="0"/>
          <w:sz w:val="24"/>
          <w:szCs w:val="24"/>
          <w:lang w:eastAsia="en-GB"/>
          <w14:ligatures w14:val="none"/>
        </w:rPr>
        <w:t>A</w:t>
      </w:r>
      <w:r w:rsidRPr="005D25BC">
        <w:rPr>
          <w:rFonts w:ascii="Arial" w:eastAsia="Times New Roman" w:hAnsi="Arial" w:cs="Arial"/>
          <w:kern w:val="0"/>
          <w:sz w:val="24"/>
          <w:szCs w:val="24"/>
          <w:lang w:eastAsia="en-GB"/>
          <w14:ligatures w14:val="none"/>
        </w:rPr>
        <w:t xml:space="preserve"> longitudinal analysis over 12 months. </w:t>
      </w:r>
      <w:r w:rsidR="0084250F" w:rsidRPr="005D25BC">
        <w:rPr>
          <w:rFonts w:ascii="Arial" w:eastAsia="Times New Roman" w:hAnsi="Arial" w:cs="Arial"/>
          <w:kern w:val="0"/>
          <w:sz w:val="24"/>
          <w:szCs w:val="24"/>
          <w:lang w:eastAsia="en-GB"/>
          <w14:ligatures w14:val="none"/>
        </w:rPr>
        <w:t xml:space="preserve"> </w:t>
      </w:r>
      <w:r w:rsidR="0084250F" w:rsidRPr="005D25BC">
        <w:rPr>
          <w:rFonts w:ascii="Arial" w:eastAsia="Times New Roman" w:hAnsi="Arial" w:cs="Arial"/>
          <w:i/>
          <w:iCs/>
          <w:kern w:val="0"/>
          <w:sz w:val="24"/>
          <w:szCs w:val="24"/>
          <w:lang w:eastAsia="en-GB"/>
          <w14:ligatures w14:val="none"/>
        </w:rPr>
        <w:t>British Journal of Educational Studies</w:t>
      </w:r>
      <w:r w:rsidR="0084250F" w:rsidRPr="005D25BC">
        <w:rPr>
          <w:rFonts w:ascii="Arial" w:eastAsia="Times New Roman" w:hAnsi="Arial" w:cs="Arial"/>
          <w:kern w:val="0"/>
          <w:sz w:val="24"/>
          <w:szCs w:val="24"/>
          <w:lang w:eastAsia="en-GB"/>
          <w14:ligatures w14:val="none"/>
        </w:rPr>
        <w:t xml:space="preserve">, </w:t>
      </w:r>
      <w:r w:rsidR="0084250F" w:rsidRPr="005D25BC">
        <w:rPr>
          <w:rFonts w:ascii="Arial" w:eastAsia="Times New Roman" w:hAnsi="Arial" w:cs="Arial"/>
          <w:i/>
          <w:iCs/>
          <w:kern w:val="0"/>
          <w:sz w:val="24"/>
          <w:szCs w:val="24"/>
          <w:lang w:eastAsia="en-GB"/>
          <w14:ligatures w14:val="none"/>
        </w:rPr>
        <w:t>71</w:t>
      </w:r>
      <w:r w:rsidR="0084250F" w:rsidRPr="005D25BC">
        <w:rPr>
          <w:rFonts w:ascii="Arial" w:eastAsia="Times New Roman" w:hAnsi="Arial" w:cs="Arial"/>
          <w:kern w:val="0"/>
          <w:sz w:val="24"/>
          <w:szCs w:val="24"/>
          <w:lang w:eastAsia="en-GB"/>
          <w14:ligatures w14:val="none"/>
        </w:rPr>
        <w:t xml:space="preserve">(6), 585–608. </w:t>
      </w:r>
      <w:hyperlink r:id="rId11" w:history="1">
        <w:r w:rsidRPr="004F258A">
          <w:rPr>
            <w:rStyle w:val="Hyperlink"/>
            <w:rFonts w:ascii="Arial" w:eastAsia="Times New Roman" w:hAnsi="Arial" w:cs="Arial"/>
            <w:kern w:val="0"/>
            <w:sz w:val="24"/>
            <w:szCs w:val="24"/>
            <w:lang w:eastAsia="en-GB"/>
            <w14:ligatures w14:val="none"/>
          </w:rPr>
          <w:t>https://doi.org/10.1080/00071005.2023.2215857</w:t>
        </w:r>
      </w:hyperlink>
      <w:r>
        <w:rPr>
          <w:rFonts w:ascii="Arial" w:eastAsia="Times New Roman" w:hAnsi="Arial" w:cs="Arial"/>
          <w:kern w:val="0"/>
          <w:sz w:val="24"/>
          <w:szCs w:val="24"/>
          <w:lang w:eastAsia="en-GB"/>
          <w14:ligatures w14:val="none"/>
        </w:rPr>
        <w:br/>
      </w:r>
    </w:p>
    <w:p w14:paraId="1BF33C09" w14:textId="07FA194B" w:rsidR="0084250F" w:rsidRDefault="005D25BC" w:rsidP="005D25BC">
      <w:pPr>
        <w:rPr>
          <w:rFonts w:ascii="Arial" w:hAnsi="Arial" w:cs="Arial"/>
          <w:color w:val="333333"/>
          <w:sz w:val="24"/>
          <w:szCs w:val="24"/>
        </w:rPr>
      </w:pPr>
      <w:r w:rsidRPr="005D25BC">
        <w:rPr>
          <w:rFonts w:ascii="Arial" w:hAnsi="Arial" w:cs="Arial"/>
          <w:color w:val="333333"/>
          <w:sz w:val="24"/>
          <w:szCs w:val="24"/>
        </w:rPr>
        <w:t xml:space="preserve">Abstract: </w:t>
      </w:r>
      <w:r w:rsidR="0084250F" w:rsidRPr="005D25BC">
        <w:rPr>
          <w:rFonts w:ascii="Arial" w:hAnsi="Arial" w:cs="Arial"/>
          <w:color w:val="333333"/>
          <w:sz w:val="24"/>
          <w:szCs w:val="24"/>
        </w:rPr>
        <w:t xml:space="preserve">University students in the UK have encountered many challenges </w:t>
      </w:r>
      <w:proofErr w:type="gramStart"/>
      <w:r w:rsidR="0084250F" w:rsidRPr="005D25BC">
        <w:rPr>
          <w:rFonts w:ascii="Arial" w:hAnsi="Arial" w:cs="Arial"/>
          <w:color w:val="333333"/>
          <w:sz w:val="24"/>
          <w:szCs w:val="24"/>
        </w:rPr>
        <w:t>as a result of</w:t>
      </w:r>
      <w:proofErr w:type="gramEnd"/>
      <w:r w:rsidR="0084250F" w:rsidRPr="005D25BC">
        <w:rPr>
          <w:rFonts w:ascii="Arial" w:hAnsi="Arial" w:cs="Arial"/>
          <w:color w:val="333333"/>
          <w:sz w:val="24"/>
          <w:szCs w:val="24"/>
        </w:rPr>
        <w:t xml:space="preserve"> the COVID-19 pandemic. This research aimed to track the mental well-being of a large sample of British university students (n = 554) over a one-year period of the COVID-19 pandemic, capturing data at four time points between May 2020 and May 2021. Overall retention after 12 months was 34.73%. Findings showed the COVID-19 pandemic has caused a significant, negative impact on the well-being of British university students. Students are suffering from prolonged and high levels of psychological distress and anxiety. Levels of flourishing in students are still very low. The different phases of the pandemic appear to have played an influential role in student mental health. The practical implications for higher education and recommendations for future research are discussed.</w:t>
      </w:r>
    </w:p>
    <w:p w14:paraId="29D6A279" w14:textId="2A23B474" w:rsidR="005D25BC" w:rsidRDefault="005D25BC" w:rsidP="005D25BC">
      <w:pPr>
        <w:rPr>
          <w:rFonts w:ascii="Arial" w:hAnsi="Arial" w:cs="Arial"/>
          <w:color w:val="333333"/>
          <w:sz w:val="24"/>
          <w:szCs w:val="24"/>
        </w:rPr>
      </w:pPr>
    </w:p>
    <w:p w14:paraId="2F9CF4B4" w14:textId="77777777" w:rsidR="005D25BC" w:rsidRPr="005D25BC" w:rsidRDefault="005D25BC" w:rsidP="005D25BC">
      <w:pPr>
        <w:rPr>
          <w:rFonts w:ascii="Arial" w:hAnsi="Arial" w:cs="Arial"/>
          <w:color w:val="333333"/>
          <w:sz w:val="24"/>
          <w:szCs w:val="24"/>
        </w:rPr>
      </w:pPr>
    </w:p>
    <w:p w14:paraId="2C848F0B" w14:textId="4F8FEB67" w:rsidR="005D25BC" w:rsidRDefault="005D25BC" w:rsidP="005D25BC">
      <w:pPr>
        <w:ind w:hanging="240"/>
        <w:rPr>
          <w:rFonts w:ascii="Arial" w:hAnsi="Arial" w:cs="Arial"/>
          <w:color w:val="595959"/>
          <w:sz w:val="24"/>
          <w:szCs w:val="24"/>
        </w:rPr>
      </w:pPr>
      <w:r>
        <w:rPr>
          <w:rFonts w:ascii="Arial" w:eastAsia="Times New Roman" w:hAnsi="Arial" w:cs="Arial"/>
          <w:kern w:val="0"/>
          <w:sz w:val="24"/>
          <w:szCs w:val="24"/>
          <w:lang w:eastAsia="en-GB"/>
          <w14:ligatures w14:val="none"/>
        </w:rPr>
        <w:t xml:space="preserve">   </w:t>
      </w:r>
      <w:r w:rsidRPr="005D25BC">
        <w:rPr>
          <w:rFonts w:ascii="Arial" w:eastAsia="Times New Roman" w:hAnsi="Arial" w:cs="Arial"/>
          <w:kern w:val="0"/>
          <w:sz w:val="24"/>
          <w:szCs w:val="24"/>
          <w:lang w:eastAsia="en-GB"/>
          <w14:ligatures w14:val="none"/>
        </w:rPr>
        <w:t xml:space="preserve">Cook, A., Egan, H., Wood, J., &amp; </w:t>
      </w:r>
      <w:proofErr w:type="spellStart"/>
      <w:r w:rsidRPr="005D25BC">
        <w:rPr>
          <w:rFonts w:ascii="Arial" w:eastAsia="Times New Roman" w:hAnsi="Arial" w:cs="Arial"/>
          <w:kern w:val="0"/>
          <w:sz w:val="24"/>
          <w:szCs w:val="24"/>
          <w:lang w:eastAsia="en-GB"/>
          <w14:ligatures w14:val="none"/>
        </w:rPr>
        <w:t>Mantzios</w:t>
      </w:r>
      <w:proofErr w:type="spellEnd"/>
      <w:r w:rsidRPr="005D25BC">
        <w:rPr>
          <w:rFonts w:ascii="Arial" w:eastAsia="Times New Roman" w:hAnsi="Arial" w:cs="Arial"/>
          <w:kern w:val="0"/>
          <w:sz w:val="24"/>
          <w:szCs w:val="24"/>
          <w:lang w:eastAsia="en-GB"/>
          <w14:ligatures w14:val="none"/>
        </w:rPr>
        <w:t xml:space="preserve">, M. (2023). Examining the relationship of depression and anxiety to academic entitlement, and the potential mediating role of mindfulness. </w:t>
      </w:r>
      <w:r w:rsidRPr="005D25BC">
        <w:rPr>
          <w:rFonts w:ascii="Arial" w:eastAsia="Times New Roman" w:hAnsi="Arial" w:cs="Arial"/>
          <w:i/>
          <w:iCs/>
          <w:kern w:val="0"/>
          <w:sz w:val="24"/>
          <w:szCs w:val="24"/>
          <w:lang w:eastAsia="en-GB"/>
          <w14:ligatures w14:val="none"/>
        </w:rPr>
        <w:t>Journal of Further and Higher Education</w:t>
      </w:r>
      <w:r w:rsidRPr="005D25BC">
        <w:rPr>
          <w:rFonts w:ascii="Arial" w:eastAsia="Times New Roman" w:hAnsi="Arial" w:cs="Arial"/>
          <w:kern w:val="0"/>
          <w:sz w:val="24"/>
          <w:szCs w:val="24"/>
          <w:lang w:eastAsia="en-GB"/>
          <w14:ligatures w14:val="none"/>
        </w:rPr>
        <w:t xml:space="preserve">, </w:t>
      </w:r>
      <w:r w:rsidRPr="005D25BC">
        <w:rPr>
          <w:rFonts w:ascii="Arial" w:eastAsia="Times New Roman" w:hAnsi="Arial" w:cs="Arial"/>
          <w:i/>
          <w:iCs/>
          <w:kern w:val="0"/>
          <w:sz w:val="24"/>
          <w:szCs w:val="24"/>
          <w:lang w:eastAsia="en-GB"/>
          <w14:ligatures w14:val="none"/>
        </w:rPr>
        <w:t>47</w:t>
      </w:r>
      <w:r w:rsidRPr="005D25BC">
        <w:rPr>
          <w:rFonts w:ascii="Arial" w:eastAsia="Times New Roman" w:hAnsi="Arial" w:cs="Arial"/>
          <w:kern w:val="0"/>
          <w:sz w:val="24"/>
          <w:szCs w:val="24"/>
          <w:lang w:eastAsia="en-GB"/>
          <w14:ligatures w14:val="none"/>
        </w:rPr>
        <w:t xml:space="preserve">(9), 1211–1220. </w:t>
      </w:r>
      <w:hyperlink r:id="rId12" w:history="1">
        <w:r w:rsidRPr="004F258A">
          <w:rPr>
            <w:rStyle w:val="Hyperlink"/>
            <w:rFonts w:ascii="Arial" w:eastAsia="Times New Roman" w:hAnsi="Arial" w:cs="Arial"/>
            <w:kern w:val="0"/>
            <w:sz w:val="24"/>
            <w:szCs w:val="24"/>
            <w:lang w:eastAsia="en-GB"/>
            <w14:ligatures w14:val="none"/>
          </w:rPr>
          <w:t>https://doi.org/10.1080/0309877X.2023.2241382</w:t>
        </w:r>
      </w:hyperlink>
      <w:r>
        <w:rPr>
          <w:rFonts w:ascii="Arial" w:eastAsia="Times New Roman" w:hAnsi="Arial" w:cs="Arial"/>
          <w:kern w:val="0"/>
          <w:sz w:val="24"/>
          <w:szCs w:val="24"/>
          <w:lang w:eastAsia="en-GB"/>
          <w14:ligatures w14:val="none"/>
        </w:rPr>
        <w:br/>
      </w:r>
      <w:r>
        <w:rPr>
          <w:rFonts w:ascii="Arial" w:eastAsia="Times New Roman" w:hAnsi="Arial" w:cs="Arial"/>
          <w:kern w:val="0"/>
          <w:sz w:val="24"/>
          <w:szCs w:val="24"/>
          <w:lang w:eastAsia="en-GB"/>
          <w14:ligatures w14:val="none"/>
        </w:rPr>
        <w:br/>
        <w:t xml:space="preserve">Abstract:  </w:t>
      </w:r>
      <w:r w:rsidRPr="005D25BC">
        <w:rPr>
          <w:rFonts w:ascii="Arial" w:hAnsi="Arial" w:cs="Arial"/>
          <w:color w:val="595959"/>
          <w:sz w:val="24"/>
          <w:szCs w:val="24"/>
        </w:rPr>
        <w:t>Higher Educational Institutions across disciplines have seen an increased number of students who are highly distressed over grades, and this distress is often accompanied by pervasive demands on academic staff. The current study explored the relationship between academic entitlement and mental health and how it is mediated by mindfulness. Participants completed three scales (academic entitlement, depression anxiety and stress, and mindfulness). Results showed that as symptoms of depression and anxiety increase, academic entitlement increases. Furthermore, this relationship is mediated by acting with awareness, a facet of mindfulness. Findings from the current study support the use of mindfulness interventions in potentially disrupting the link between academic entitlement and mental ill-health. Future directions are discussed. [ABSTRACT FROM AUTHOR]</w:t>
      </w:r>
    </w:p>
    <w:p w14:paraId="5F46BD29" w14:textId="37D3B991" w:rsidR="005D25BC" w:rsidRDefault="005D25BC" w:rsidP="005D25BC">
      <w:pPr>
        <w:ind w:hanging="240"/>
        <w:rPr>
          <w:rFonts w:ascii="Arial" w:hAnsi="Arial" w:cs="Arial"/>
          <w:color w:val="595959"/>
          <w:sz w:val="24"/>
          <w:szCs w:val="24"/>
        </w:rPr>
      </w:pPr>
    </w:p>
    <w:p w14:paraId="350771B0" w14:textId="77777777" w:rsidR="005D25BC" w:rsidRPr="005D25BC" w:rsidRDefault="005D25BC" w:rsidP="005D25BC">
      <w:pPr>
        <w:ind w:hanging="240"/>
        <w:rPr>
          <w:rFonts w:ascii="Arial" w:eastAsia="Times New Roman" w:hAnsi="Arial" w:cs="Arial"/>
          <w:kern w:val="0"/>
          <w:sz w:val="24"/>
          <w:szCs w:val="24"/>
          <w:lang w:eastAsia="en-GB"/>
          <w14:ligatures w14:val="none"/>
        </w:rPr>
      </w:pPr>
    </w:p>
    <w:p w14:paraId="6940F287" w14:textId="79A145B9" w:rsidR="005D25BC" w:rsidRPr="005D25BC" w:rsidRDefault="005D25BC" w:rsidP="005D25BC">
      <w:pPr>
        <w:ind w:hanging="240"/>
        <w:rPr>
          <w:rFonts w:ascii="Arial" w:eastAsia="Times New Roman" w:hAnsi="Arial" w:cs="Arial"/>
          <w:kern w:val="0"/>
          <w:sz w:val="24"/>
          <w:szCs w:val="24"/>
          <w:lang w:eastAsia="en-GB"/>
          <w14:ligatures w14:val="none"/>
        </w:rPr>
      </w:pPr>
      <w:r w:rsidRPr="005D25BC">
        <w:rPr>
          <w:rFonts w:ascii="Arial" w:eastAsia="Times New Roman" w:hAnsi="Arial" w:cs="Arial"/>
          <w:kern w:val="0"/>
          <w:sz w:val="24"/>
          <w:szCs w:val="24"/>
          <w:lang w:eastAsia="en-GB"/>
          <w14:ligatures w14:val="none"/>
        </w:rPr>
        <w:t xml:space="preserve">    Nails, J. G., </w:t>
      </w:r>
      <w:proofErr w:type="spellStart"/>
      <w:r w:rsidRPr="005D25BC">
        <w:rPr>
          <w:rFonts w:ascii="Arial" w:eastAsia="Times New Roman" w:hAnsi="Arial" w:cs="Arial"/>
          <w:kern w:val="0"/>
          <w:sz w:val="24"/>
          <w:szCs w:val="24"/>
          <w:lang w:eastAsia="en-GB"/>
          <w14:ligatures w14:val="none"/>
        </w:rPr>
        <w:t>Maffly-Kipp</w:t>
      </w:r>
      <w:proofErr w:type="spellEnd"/>
      <w:r w:rsidRPr="005D25BC">
        <w:rPr>
          <w:rFonts w:ascii="Arial" w:eastAsia="Times New Roman" w:hAnsi="Arial" w:cs="Arial"/>
          <w:kern w:val="0"/>
          <w:sz w:val="24"/>
          <w:szCs w:val="24"/>
          <w:lang w:eastAsia="en-GB"/>
          <w14:ligatures w14:val="none"/>
        </w:rPr>
        <w:t xml:space="preserve">, J., DeShong, H. L., </w:t>
      </w:r>
      <w:proofErr w:type="spellStart"/>
      <w:r w:rsidRPr="005D25BC">
        <w:rPr>
          <w:rFonts w:ascii="Arial" w:eastAsia="Times New Roman" w:hAnsi="Arial" w:cs="Arial"/>
          <w:kern w:val="0"/>
          <w:sz w:val="24"/>
          <w:szCs w:val="24"/>
          <w:lang w:eastAsia="en-GB"/>
          <w14:ligatures w14:val="none"/>
        </w:rPr>
        <w:t>Lowmaster</w:t>
      </w:r>
      <w:proofErr w:type="spellEnd"/>
      <w:r w:rsidRPr="005D25BC">
        <w:rPr>
          <w:rFonts w:ascii="Arial" w:eastAsia="Times New Roman" w:hAnsi="Arial" w:cs="Arial"/>
          <w:kern w:val="0"/>
          <w:sz w:val="24"/>
          <w:szCs w:val="24"/>
          <w:lang w:eastAsia="en-GB"/>
          <w14:ligatures w14:val="none"/>
        </w:rPr>
        <w:t xml:space="preserve">, S. E., &amp; Kurtz, J. E. (2023). A crisis in college student mental health? Self-ratings of psychopathology before and after the COVID-19 pandemic. </w:t>
      </w:r>
      <w:r w:rsidRPr="005D25BC">
        <w:rPr>
          <w:rFonts w:ascii="Arial" w:eastAsia="Times New Roman" w:hAnsi="Arial" w:cs="Arial"/>
          <w:i/>
          <w:iCs/>
          <w:kern w:val="0"/>
          <w:sz w:val="24"/>
          <w:szCs w:val="24"/>
          <w:lang w:eastAsia="en-GB"/>
          <w14:ligatures w14:val="none"/>
        </w:rPr>
        <w:t>Psychological Assessment, 35(11),</w:t>
      </w:r>
      <w:r w:rsidRPr="005D25BC">
        <w:rPr>
          <w:rFonts w:ascii="Arial" w:eastAsia="Times New Roman" w:hAnsi="Arial" w:cs="Arial"/>
          <w:kern w:val="0"/>
          <w:sz w:val="24"/>
          <w:szCs w:val="24"/>
          <w:lang w:eastAsia="en-GB"/>
          <w14:ligatures w14:val="none"/>
        </w:rPr>
        <w:t xml:space="preserve"> 1010–1018. https://doi.org/10.1037/pas0001241</w:t>
      </w:r>
    </w:p>
    <w:p w14:paraId="1C3332E0" w14:textId="77777777" w:rsidR="0084250F" w:rsidRPr="004B486D" w:rsidRDefault="0084250F" w:rsidP="00234B90">
      <w:pPr>
        <w:rPr>
          <w:rFonts w:ascii="Arial" w:hAnsi="Arial" w:cs="Arial"/>
          <w:b/>
          <w:bCs/>
          <w:sz w:val="24"/>
          <w:szCs w:val="24"/>
        </w:rPr>
      </w:pPr>
    </w:p>
    <w:p w14:paraId="3C539976" w14:textId="2B88A20E" w:rsidR="004B486D" w:rsidRDefault="004B486D" w:rsidP="004B486D">
      <w:pPr>
        <w:pStyle w:val="NoSpacing"/>
        <w:rPr>
          <w:rFonts w:ascii="Arial" w:hAnsi="Arial" w:cs="Arial"/>
          <w:sz w:val="24"/>
          <w:szCs w:val="24"/>
        </w:rPr>
      </w:pPr>
    </w:p>
    <w:p w14:paraId="33BDC49C" w14:textId="5C1973A0" w:rsidR="0084250F" w:rsidRPr="004B486D" w:rsidRDefault="0084250F" w:rsidP="004B486D">
      <w:pPr>
        <w:pStyle w:val="NoSpacing"/>
        <w:rPr>
          <w:rFonts w:ascii="Arial" w:hAnsi="Arial" w:cs="Arial"/>
          <w:sz w:val="24"/>
          <w:szCs w:val="24"/>
        </w:rPr>
      </w:pPr>
      <w:r w:rsidRPr="0084250F">
        <w:rPr>
          <w:rFonts w:ascii="Arial" w:hAnsi="Arial" w:cs="Arial"/>
          <w:sz w:val="24"/>
          <w:szCs w:val="24"/>
        </w:rPr>
        <w:t xml:space="preserve">Office for </w:t>
      </w:r>
      <w:proofErr w:type="gramStart"/>
      <w:r w:rsidRPr="0084250F">
        <w:rPr>
          <w:rFonts w:ascii="Arial" w:hAnsi="Arial" w:cs="Arial"/>
          <w:sz w:val="24"/>
          <w:szCs w:val="24"/>
        </w:rPr>
        <w:t>Students .</w:t>
      </w:r>
      <w:proofErr w:type="gramEnd"/>
      <w:r w:rsidRPr="0084250F">
        <w:rPr>
          <w:rFonts w:ascii="Arial" w:hAnsi="Arial" w:cs="Arial"/>
          <w:sz w:val="24"/>
          <w:szCs w:val="24"/>
        </w:rPr>
        <w:t xml:space="preserve"> (2023, November 29). </w:t>
      </w:r>
      <w:r w:rsidRPr="0084250F">
        <w:rPr>
          <w:rFonts w:ascii="Arial" w:hAnsi="Arial" w:cs="Arial"/>
          <w:i/>
          <w:iCs/>
          <w:sz w:val="24"/>
          <w:szCs w:val="24"/>
        </w:rPr>
        <w:t xml:space="preserve">Student mental health: Higher education and NHS joined-up working </w:t>
      </w:r>
      <w:r w:rsidRPr="0084250F">
        <w:rPr>
          <w:rFonts w:ascii="Arial" w:hAnsi="Arial" w:cs="Arial"/>
          <w:sz w:val="24"/>
          <w:szCs w:val="24"/>
        </w:rPr>
        <w:t>- https://www.officeforstudents.org.uk/publications/student-mental-health-higher-education-and-nhs-joined-up-working/</w:t>
      </w:r>
    </w:p>
    <w:p w14:paraId="13F5EA91" w14:textId="77777777" w:rsidR="00AE5766" w:rsidRDefault="00AE5766" w:rsidP="00AE5766"/>
    <w:p w14:paraId="6474462E" w14:textId="118FFBDA" w:rsidR="00AE5766" w:rsidRPr="00366C6B" w:rsidRDefault="00366C6B" w:rsidP="00AE5766">
      <w:pPr>
        <w:rPr>
          <w:rFonts w:ascii="Arial" w:hAnsi="Arial" w:cs="Arial"/>
          <w:sz w:val="24"/>
          <w:szCs w:val="24"/>
        </w:rPr>
      </w:pPr>
      <w:r w:rsidRPr="00366C6B">
        <w:rPr>
          <w:rFonts w:ascii="Arial" w:hAnsi="Arial" w:cs="Arial"/>
          <w:color w:val="292945"/>
          <w:sz w:val="24"/>
          <w:szCs w:val="24"/>
        </w:rPr>
        <w:t>Abstract:</w:t>
      </w:r>
      <w:r w:rsidR="005D25BC">
        <w:rPr>
          <w:rFonts w:ascii="Arial" w:hAnsi="Arial" w:cs="Arial"/>
          <w:color w:val="292945"/>
          <w:sz w:val="24"/>
          <w:szCs w:val="24"/>
        </w:rPr>
        <w:t xml:space="preserve"> </w:t>
      </w:r>
      <w:r w:rsidR="00AE5766" w:rsidRPr="00366C6B">
        <w:rPr>
          <w:rFonts w:ascii="Arial" w:hAnsi="Arial" w:cs="Arial"/>
          <w:color w:val="292945"/>
          <w:sz w:val="24"/>
          <w:szCs w:val="24"/>
        </w:rPr>
        <w:t xml:space="preserve">The Office for Students has </w:t>
      </w:r>
      <w:hyperlink r:id="rId13" w:history="1">
        <w:r w:rsidR="00AE5766" w:rsidRPr="00366C6B">
          <w:rPr>
            <w:rStyle w:val="Hyperlink"/>
            <w:rFonts w:ascii="Arial" w:hAnsi="Arial" w:cs="Arial"/>
            <w:color w:val="2B2BF9"/>
            <w:sz w:val="24"/>
            <w:szCs w:val="24"/>
          </w:rPr>
          <w:t>published</w:t>
        </w:r>
      </w:hyperlink>
      <w:r w:rsidR="00AE5766" w:rsidRPr="00366C6B">
        <w:rPr>
          <w:rFonts w:ascii="Arial" w:hAnsi="Arial" w:cs="Arial"/>
          <w:color w:val="292945"/>
          <w:sz w:val="24"/>
          <w:szCs w:val="24"/>
        </w:rPr>
        <w:t xml:space="preserve"> an independent report (from consultants Nous Group) summarising discussions and recommendations on student mental health and joined up working between providers and the NHS, based on a collaborative project involving higher education and healthcare professionals</w:t>
      </w:r>
    </w:p>
    <w:p w14:paraId="5BB545E0" w14:textId="77777777" w:rsidR="00AE5766" w:rsidRDefault="00AE5766" w:rsidP="00AE5766"/>
    <w:p w14:paraId="34A6C388" w14:textId="77777777" w:rsidR="00AE5766" w:rsidRDefault="00AE5766" w:rsidP="00AE5766">
      <w:pPr>
        <w:rPr>
          <w:rFonts w:ascii="Arial" w:hAnsi="Arial" w:cs="Arial"/>
          <w:color w:val="222222"/>
          <w:sz w:val="20"/>
          <w:szCs w:val="20"/>
          <w:shd w:val="clear" w:color="auto" w:fill="FFFFFF"/>
        </w:rPr>
      </w:pPr>
    </w:p>
    <w:p w14:paraId="3EBEA80E" w14:textId="77777777" w:rsidR="00AE5766" w:rsidRDefault="00AE5766" w:rsidP="00AE5766"/>
    <w:p w14:paraId="2B649F56" w14:textId="77777777" w:rsidR="00AE5766" w:rsidRDefault="00AE5766" w:rsidP="00AE5766"/>
    <w:p w14:paraId="6C61DF8B" w14:textId="77777777" w:rsidR="00AE5766" w:rsidRDefault="00AE5766" w:rsidP="00AE5766">
      <w:pPr>
        <w:rPr>
          <w:rFonts w:ascii="Open Sans" w:hAnsi="Open Sans" w:cs="Open Sans"/>
          <w:color w:val="333333"/>
          <w:sz w:val="26"/>
          <w:szCs w:val="26"/>
        </w:rPr>
      </w:pPr>
    </w:p>
    <w:p w14:paraId="6C63A453" w14:textId="77777777" w:rsidR="00AE5766" w:rsidRDefault="00AE5766" w:rsidP="00AE5766"/>
    <w:p w14:paraId="7927F37D" w14:textId="77777777" w:rsidR="00AE5766" w:rsidRDefault="00AE5766" w:rsidP="00AE5766"/>
    <w:p w14:paraId="3CE76879" w14:textId="002F564B" w:rsidR="00075BBC" w:rsidRPr="0040508B" w:rsidRDefault="00075BBC" w:rsidP="00BB0B76">
      <w:pPr>
        <w:rPr>
          <w:rFonts w:ascii="Arial" w:hAnsi="Arial" w:cs="Arial"/>
          <w:sz w:val="24"/>
          <w:szCs w:val="24"/>
        </w:rPr>
      </w:pPr>
    </w:p>
    <w:sectPr w:rsidR="00075BBC" w:rsidRPr="004050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101"/>
    <w:rsid w:val="00027B5A"/>
    <w:rsid w:val="00075BBC"/>
    <w:rsid w:val="00127485"/>
    <w:rsid w:val="00234B90"/>
    <w:rsid w:val="00254B51"/>
    <w:rsid w:val="0032127A"/>
    <w:rsid w:val="00335B1A"/>
    <w:rsid w:val="00336487"/>
    <w:rsid w:val="00366C6B"/>
    <w:rsid w:val="00367CEE"/>
    <w:rsid w:val="0040508B"/>
    <w:rsid w:val="004B486D"/>
    <w:rsid w:val="004D5DBD"/>
    <w:rsid w:val="0051049D"/>
    <w:rsid w:val="005259BD"/>
    <w:rsid w:val="005D25BC"/>
    <w:rsid w:val="005D2E48"/>
    <w:rsid w:val="00674D4F"/>
    <w:rsid w:val="0077580C"/>
    <w:rsid w:val="0084250F"/>
    <w:rsid w:val="00901064"/>
    <w:rsid w:val="009679EB"/>
    <w:rsid w:val="00A1334E"/>
    <w:rsid w:val="00AB7A10"/>
    <w:rsid w:val="00AE5766"/>
    <w:rsid w:val="00BB0B76"/>
    <w:rsid w:val="00CC19CB"/>
    <w:rsid w:val="00CC642F"/>
    <w:rsid w:val="00D67783"/>
    <w:rsid w:val="00DF2067"/>
    <w:rsid w:val="00E411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3B124"/>
  <w15:docId w15:val="{6BDC0F55-4960-46E9-A04F-4204D42F0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0B76"/>
    <w:rPr>
      <w:color w:val="0563C1" w:themeColor="hyperlink"/>
      <w:u w:val="single"/>
    </w:rPr>
  </w:style>
  <w:style w:type="character" w:styleId="UnresolvedMention">
    <w:name w:val="Unresolved Mention"/>
    <w:basedOn w:val="DefaultParagraphFont"/>
    <w:uiPriority w:val="99"/>
    <w:semiHidden/>
    <w:unhideWhenUsed/>
    <w:rsid w:val="00BB0B76"/>
    <w:rPr>
      <w:color w:val="605E5C"/>
      <w:shd w:val="clear" w:color="auto" w:fill="E1DFDD"/>
    </w:rPr>
  </w:style>
  <w:style w:type="paragraph" w:styleId="NormalWeb">
    <w:name w:val="Normal (Web)"/>
    <w:basedOn w:val="Normal"/>
    <w:uiPriority w:val="99"/>
    <w:semiHidden/>
    <w:unhideWhenUsed/>
    <w:rsid w:val="00BB0B76"/>
    <w:pPr>
      <w:spacing w:before="100" w:beforeAutospacing="1" w:after="100" w:afterAutospacing="1"/>
    </w:pPr>
    <w:rPr>
      <w:rFonts w:ascii="Times New Roman" w:eastAsia="Times New Roman" w:hAnsi="Times New Roman" w:cs="Times New Roman"/>
      <w:kern w:val="0"/>
      <w:sz w:val="24"/>
      <w:szCs w:val="24"/>
      <w:lang w:eastAsia="en-GB"/>
    </w:rPr>
  </w:style>
  <w:style w:type="character" w:styleId="Strong">
    <w:name w:val="Strong"/>
    <w:basedOn w:val="DefaultParagraphFont"/>
    <w:uiPriority w:val="22"/>
    <w:qFormat/>
    <w:rsid w:val="00BB0B76"/>
    <w:rPr>
      <w:b/>
      <w:bCs/>
    </w:rPr>
  </w:style>
  <w:style w:type="paragraph" w:styleId="NoSpacing">
    <w:name w:val="No Spacing"/>
    <w:uiPriority w:val="1"/>
    <w:qFormat/>
    <w:rsid w:val="004B4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82795">
      <w:bodyDiv w:val="1"/>
      <w:marLeft w:val="0"/>
      <w:marRight w:val="0"/>
      <w:marTop w:val="0"/>
      <w:marBottom w:val="0"/>
      <w:divBdr>
        <w:top w:val="none" w:sz="0" w:space="0" w:color="auto"/>
        <w:left w:val="none" w:sz="0" w:space="0" w:color="auto"/>
        <w:bottom w:val="none" w:sz="0" w:space="0" w:color="auto"/>
        <w:right w:val="none" w:sz="0" w:space="0" w:color="auto"/>
      </w:divBdr>
      <w:divsChild>
        <w:div w:id="2068525299">
          <w:marLeft w:val="0"/>
          <w:marRight w:val="0"/>
          <w:marTop w:val="0"/>
          <w:marBottom w:val="0"/>
          <w:divBdr>
            <w:top w:val="none" w:sz="0" w:space="0" w:color="auto"/>
            <w:left w:val="none" w:sz="0" w:space="0" w:color="auto"/>
            <w:bottom w:val="none" w:sz="0" w:space="0" w:color="auto"/>
            <w:right w:val="none" w:sz="0" w:space="0" w:color="auto"/>
          </w:divBdr>
          <w:divsChild>
            <w:div w:id="207280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95056">
      <w:bodyDiv w:val="1"/>
      <w:marLeft w:val="0"/>
      <w:marRight w:val="0"/>
      <w:marTop w:val="0"/>
      <w:marBottom w:val="0"/>
      <w:divBdr>
        <w:top w:val="none" w:sz="0" w:space="0" w:color="auto"/>
        <w:left w:val="none" w:sz="0" w:space="0" w:color="auto"/>
        <w:bottom w:val="none" w:sz="0" w:space="0" w:color="auto"/>
        <w:right w:val="none" w:sz="0" w:space="0" w:color="auto"/>
      </w:divBdr>
      <w:divsChild>
        <w:div w:id="1692953127">
          <w:marLeft w:val="0"/>
          <w:marRight w:val="0"/>
          <w:marTop w:val="0"/>
          <w:marBottom w:val="0"/>
          <w:divBdr>
            <w:top w:val="none" w:sz="0" w:space="0" w:color="auto"/>
            <w:left w:val="none" w:sz="0" w:space="0" w:color="auto"/>
            <w:bottom w:val="none" w:sz="0" w:space="0" w:color="auto"/>
            <w:right w:val="none" w:sz="0" w:space="0" w:color="auto"/>
          </w:divBdr>
          <w:divsChild>
            <w:div w:id="98266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33294">
      <w:bodyDiv w:val="1"/>
      <w:marLeft w:val="0"/>
      <w:marRight w:val="0"/>
      <w:marTop w:val="0"/>
      <w:marBottom w:val="0"/>
      <w:divBdr>
        <w:top w:val="none" w:sz="0" w:space="0" w:color="auto"/>
        <w:left w:val="none" w:sz="0" w:space="0" w:color="auto"/>
        <w:bottom w:val="none" w:sz="0" w:space="0" w:color="auto"/>
        <w:right w:val="none" w:sz="0" w:space="0" w:color="auto"/>
      </w:divBdr>
      <w:divsChild>
        <w:div w:id="1617711707">
          <w:marLeft w:val="0"/>
          <w:marRight w:val="0"/>
          <w:marTop w:val="0"/>
          <w:marBottom w:val="0"/>
          <w:divBdr>
            <w:top w:val="none" w:sz="0" w:space="0" w:color="auto"/>
            <w:left w:val="none" w:sz="0" w:space="0" w:color="auto"/>
            <w:bottom w:val="none" w:sz="0" w:space="0" w:color="auto"/>
            <w:right w:val="none" w:sz="0" w:space="0" w:color="auto"/>
          </w:divBdr>
          <w:divsChild>
            <w:div w:id="160769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3197">
      <w:bodyDiv w:val="1"/>
      <w:marLeft w:val="0"/>
      <w:marRight w:val="0"/>
      <w:marTop w:val="0"/>
      <w:marBottom w:val="0"/>
      <w:divBdr>
        <w:top w:val="none" w:sz="0" w:space="0" w:color="auto"/>
        <w:left w:val="none" w:sz="0" w:space="0" w:color="auto"/>
        <w:bottom w:val="none" w:sz="0" w:space="0" w:color="auto"/>
        <w:right w:val="none" w:sz="0" w:space="0" w:color="auto"/>
      </w:divBdr>
      <w:divsChild>
        <w:div w:id="1275134199">
          <w:marLeft w:val="0"/>
          <w:marRight w:val="0"/>
          <w:marTop w:val="0"/>
          <w:marBottom w:val="0"/>
          <w:divBdr>
            <w:top w:val="none" w:sz="0" w:space="0" w:color="auto"/>
            <w:left w:val="none" w:sz="0" w:space="0" w:color="auto"/>
            <w:bottom w:val="none" w:sz="0" w:space="0" w:color="auto"/>
            <w:right w:val="none" w:sz="0" w:space="0" w:color="auto"/>
          </w:divBdr>
          <w:divsChild>
            <w:div w:id="25031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64882">
      <w:bodyDiv w:val="1"/>
      <w:marLeft w:val="0"/>
      <w:marRight w:val="0"/>
      <w:marTop w:val="0"/>
      <w:marBottom w:val="0"/>
      <w:divBdr>
        <w:top w:val="none" w:sz="0" w:space="0" w:color="auto"/>
        <w:left w:val="none" w:sz="0" w:space="0" w:color="auto"/>
        <w:bottom w:val="none" w:sz="0" w:space="0" w:color="auto"/>
        <w:right w:val="none" w:sz="0" w:space="0" w:color="auto"/>
      </w:divBdr>
      <w:divsChild>
        <w:div w:id="386538141">
          <w:marLeft w:val="0"/>
          <w:marRight w:val="0"/>
          <w:marTop w:val="0"/>
          <w:marBottom w:val="0"/>
          <w:divBdr>
            <w:top w:val="none" w:sz="0" w:space="0" w:color="auto"/>
            <w:left w:val="none" w:sz="0" w:space="0" w:color="auto"/>
            <w:bottom w:val="none" w:sz="0" w:space="0" w:color="auto"/>
            <w:right w:val="none" w:sz="0" w:space="0" w:color="auto"/>
          </w:divBdr>
          <w:divsChild>
            <w:div w:id="4391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3908">
      <w:bodyDiv w:val="1"/>
      <w:marLeft w:val="0"/>
      <w:marRight w:val="0"/>
      <w:marTop w:val="0"/>
      <w:marBottom w:val="0"/>
      <w:divBdr>
        <w:top w:val="none" w:sz="0" w:space="0" w:color="auto"/>
        <w:left w:val="none" w:sz="0" w:space="0" w:color="auto"/>
        <w:bottom w:val="none" w:sz="0" w:space="0" w:color="auto"/>
        <w:right w:val="none" w:sz="0" w:space="0" w:color="auto"/>
      </w:divBdr>
    </w:div>
    <w:div w:id="277488239">
      <w:bodyDiv w:val="1"/>
      <w:marLeft w:val="0"/>
      <w:marRight w:val="0"/>
      <w:marTop w:val="0"/>
      <w:marBottom w:val="0"/>
      <w:divBdr>
        <w:top w:val="none" w:sz="0" w:space="0" w:color="auto"/>
        <w:left w:val="none" w:sz="0" w:space="0" w:color="auto"/>
        <w:bottom w:val="none" w:sz="0" w:space="0" w:color="auto"/>
        <w:right w:val="none" w:sz="0" w:space="0" w:color="auto"/>
      </w:divBdr>
      <w:divsChild>
        <w:div w:id="421342318">
          <w:marLeft w:val="0"/>
          <w:marRight w:val="0"/>
          <w:marTop w:val="0"/>
          <w:marBottom w:val="0"/>
          <w:divBdr>
            <w:top w:val="none" w:sz="0" w:space="0" w:color="auto"/>
            <w:left w:val="none" w:sz="0" w:space="0" w:color="auto"/>
            <w:bottom w:val="none" w:sz="0" w:space="0" w:color="auto"/>
            <w:right w:val="none" w:sz="0" w:space="0" w:color="auto"/>
          </w:divBdr>
          <w:divsChild>
            <w:div w:id="90206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030934">
      <w:bodyDiv w:val="1"/>
      <w:marLeft w:val="0"/>
      <w:marRight w:val="0"/>
      <w:marTop w:val="0"/>
      <w:marBottom w:val="0"/>
      <w:divBdr>
        <w:top w:val="none" w:sz="0" w:space="0" w:color="auto"/>
        <w:left w:val="none" w:sz="0" w:space="0" w:color="auto"/>
        <w:bottom w:val="none" w:sz="0" w:space="0" w:color="auto"/>
        <w:right w:val="none" w:sz="0" w:space="0" w:color="auto"/>
      </w:divBdr>
      <w:divsChild>
        <w:div w:id="200242395">
          <w:marLeft w:val="0"/>
          <w:marRight w:val="0"/>
          <w:marTop w:val="0"/>
          <w:marBottom w:val="0"/>
          <w:divBdr>
            <w:top w:val="none" w:sz="0" w:space="0" w:color="auto"/>
            <w:left w:val="none" w:sz="0" w:space="0" w:color="auto"/>
            <w:bottom w:val="none" w:sz="0" w:space="0" w:color="auto"/>
            <w:right w:val="none" w:sz="0" w:space="0" w:color="auto"/>
          </w:divBdr>
          <w:divsChild>
            <w:div w:id="15226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77846">
      <w:bodyDiv w:val="1"/>
      <w:marLeft w:val="0"/>
      <w:marRight w:val="0"/>
      <w:marTop w:val="0"/>
      <w:marBottom w:val="0"/>
      <w:divBdr>
        <w:top w:val="none" w:sz="0" w:space="0" w:color="auto"/>
        <w:left w:val="none" w:sz="0" w:space="0" w:color="auto"/>
        <w:bottom w:val="none" w:sz="0" w:space="0" w:color="auto"/>
        <w:right w:val="none" w:sz="0" w:space="0" w:color="auto"/>
      </w:divBdr>
      <w:divsChild>
        <w:div w:id="95954100">
          <w:marLeft w:val="0"/>
          <w:marRight w:val="0"/>
          <w:marTop w:val="0"/>
          <w:marBottom w:val="0"/>
          <w:divBdr>
            <w:top w:val="none" w:sz="0" w:space="0" w:color="auto"/>
            <w:left w:val="none" w:sz="0" w:space="0" w:color="auto"/>
            <w:bottom w:val="none" w:sz="0" w:space="0" w:color="auto"/>
            <w:right w:val="none" w:sz="0" w:space="0" w:color="auto"/>
          </w:divBdr>
          <w:divsChild>
            <w:div w:id="167834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714044">
      <w:bodyDiv w:val="1"/>
      <w:marLeft w:val="0"/>
      <w:marRight w:val="0"/>
      <w:marTop w:val="0"/>
      <w:marBottom w:val="0"/>
      <w:divBdr>
        <w:top w:val="none" w:sz="0" w:space="0" w:color="auto"/>
        <w:left w:val="none" w:sz="0" w:space="0" w:color="auto"/>
        <w:bottom w:val="none" w:sz="0" w:space="0" w:color="auto"/>
        <w:right w:val="none" w:sz="0" w:space="0" w:color="auto"/>
      </w:divBdr>
      <w:divsChild>
        <w:div w:id="1780484394">
          <w:marLeft w:val="0"/>
          <w:marRight w:val="0"/>
          <w:marTop w:val="0"/>
          <w:marBottom w:val="0"/>
          <w:divBdr>
            <w:top w:val="none" w:sz="0" w:space="0" w:color="auto"/>
            <w:left w:val="none" w:sz="0" w:space="0" w:color="auto"/>
            <w:bottom w:val="none" w:sz="0" w:space="0" w:color="auto"/>
            <w:right w:val="none" w:sz="0" w:space="0" w:color="auto"/>
          </w:divBdr>
          <w:divsChild>
            <w:div w:id="72733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787695">
      <w:bodyDiv w:val="1"/>
      <w:marLeft w:val="0"/>
      <w:marRight w:val="0"/>
      <w:marTop w:val="0"/>
      <w:marBottom w:val="0"/>
      <w:divBdr>
        <w:top w:val="none" w:sz="0" w:space="0" w:color="auto"/>
        <w:left w:val="none" w:sz="0" w:space="0" w:color="auto"/>
        <w:bottom w:val="none" w:sz="0" w:space="0" w:color="auto"/>
        <w:right w:val="none" w:sz="0" w:space="0" w:color="auto"/>
      </w:divBdr>
      <w:divsChild>
        <w:div w:id="171646252">
          <w:marLeft w:val="0"/>
          <w:marRight w:val="0"/>
          <w:marTop w:val="0"/>
          <w:marBottom w:val="0"/>
          <w:divBdr>
            <w:top w:val="none" w:sz="0" w:space="0" w:color="auto"/>
            <w:left w:val="none" w:sz="0" w:space="0" w:color="auto"/>
            <w:bottom w:val="none" w:sz="0" w:space="0" w:color="auto"/>
            <w:right w:val="none" w:sz="0" w:space="0" w:color="auto"/>
          </w:divBdr>
          <w:divsChild>
            <w:div w:id="22623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750576">
      <w:bodyDiv w:val="1"/>
      <w:marLeft w:val="0"/>
      <w:marRight w:val="0"/>
      <w:marTop w:val="0"/>
      <w:marBottom w:val="0"/>
      <w:divBdr>
        <w:top w:val="none" w:sz="0" w:space="0" w:color="auto"/>
        <w:left w:val="none" w:sz="0" w:space="0" w:color="auto"/>
        <w:bottom w:val="none" w:sz="0" w:space="0" w:color="auto"/>
        <w:right w:val="none" w:sz="0" w:space="0" w:color="auto"/>
      </w:divBdr>
      <w:divsChild>
        <w:div w:id="367070487">
          <w:marLeft w:val="0"/>
          <w:marRight w:val="0"/>
          <w:marTop w:val="0"/>
          <w:marBottom w:val="0"/>
          <w:divBdr>
            <w:top w:val="none" w:sz="0" w:space="0" w:color="auto"/>
            <w:left w:val="none" w:sz="0" w:space="0" w:color="auto"/>
            <w:bottom w:val="none" w:sz="0" w:space="0" w:color="auto"/>
            <w:right w:val="none" w:sz="0" w:space="0" w:color="auto"/>
          </w:divBdr>
          <w:divsChild>
            <w:div w:id="146947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65238">
      <w:bodyDiv w:val="1"/>
      <w:marLeft w:val="0"/>
      <w:marRight w:val="0"/>
      <w:marTop w:val="0"/>
      <w:marBottom w:val="0"/>
      <w:divBdr>
        <w:top w:val="none" w:sz="0" w:space="0" w:color="auto"/>
        <w:left w:val="none" w:sz="0" w:space="0" w:color="auto"/>
        <w:bottom w:val="none" w:sz="0" w:space="0" w:color="auto"/>
        <w:right w:val="none" w:sz="0" w:space="0" w:color="auto"/>
      </w:divBdr>
      <w:divsChild>
        <w:div w:id="1065762832">
          <w:marLeft w:val="0"/>
          <w:marRight w:val="0"/>
          <w:marTop w:val="0"/>
          <w:marBottom w:val="0"/>
          <w:divBdr>
            <w:top w:val="none" w:sz="0" w:space="0" w:color="auto"/>
            <w:left w:val="none" w:sz="0" w:space="0" w:color="auto"/>
            <w:bottom w:val="none" w:sz="0" w:space="0" w:color="auto"/>
            <w:right w:val="none" w:sz="0" w:space="0" w:color="auto"/>
          </w:divBdr>
          <w:divsChild>
            <w:div w:id="92676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504901">
      <w:bodyDiv w:val="1"/>
      <w:marLeft w:val="0"/>
      <w:marRight w:val="0"/>
      <w:marTop w:val="0"/>
      <w:marBottom w:val="0"/>
      <w:divBdr>
        <w:top w:val="none" w:sz="0" w:space="0" w:color="auto"/>
        <w:left w:val="none" w:sz="0" w:space="0" w:color="auto"/>
        <w:bottom w:val="none" w:sz="0" w:space="0" w:color="auto"/>
        <w:right w:val="none" w:sz="0" w:space="0" w:color="auto"/>
      </w:divBdr>
      <w:divsChild>
        <w:div w:id="859971077">
          <w:marLeft w:val="0"/>
          <w:marRight w:val="0"/>
          <w:marTop w:val="0"/>
          <w:marBottom w:val="0"/>
          <w:divBdr>
            <w:top w:val="none" w:sz="0" w:space="0" w:color="auto"/>
            <w:left w:val="none" w:sz="0" w:space="0" w:color="auto"/>
            <w:bottom w:val="none" w:sz="0" w:space="0" w:color="auto"/>
            <w:right w:val="none" w:sz="0" w:space="0" w:color="auto"/>
          </w:divBdr>
          <w:divsChild>
            <w:div w:id="112180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977331">
      <w:bodyDiv w:val="1"/>
      <w:marLeft w:val="0"/>
      <w:marRight w:val="0"/>
      <w:marTop w:val="0"/>
      <w:marBottom w:val="0"/>
      <w:divBdr>
        <w:top w:val="none" w:sz="0" w:space="0" w:color="auto"/>
        <w:left w:val="none" w:sz="0" w:space="0" w:color="auto"/>
        <w:bottom w:val="none" w:sz="0" w:space="0" w:color="auto"/>
        <w:right w:val="none" w:sz="0" w:space="0" w:color="auto"/>
      </w:divBdr>
      <w:divsChild>
        <w:div w:id="1205943115">
          <w:marLeft w:val="0"/>
          <w:marRight w:val="0"/>
          <w:marTop w:val="0"/>
          <w:marBottom w:val="0"/>
          <w:divBdr>
            <w:top w:val="none" w:sz="0" w:space="0" w:color="auto"/>
            <w:left w:val="none" w:sz="0" w:space="0" w:color="auto"/>
            <w:bottom w:val="none" w:sz="0" w:space="0" w:color="auto"/>
            <w:right w:val="none" w:sz="0" w:space="0" w:color="auto"/>
          </w:divBdr>
          <w:divsChild>
            <w:div w:id="32948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82508">
      <w:bodyDiv w:val="1"/>
      <w:marLeft w:val="0"/>
      <w:marRight w:val="0"/>
      <w:marTop w:val="0"/>
      <w:marBottom w:val="0"/>
      <w:divBdr>
        <w:top w:val="none" w:sz="0" w:space="0" w:color="auto"/>
        <w:left w:val="none" w:sz="0" w:space="0" w:color="auto"/>
        <w:bottom w:val="none" w:sz="0" w:space="0" w:color="auto"/>
        <w:right w:val="none" w:sz="0" w:space="0" w:color="auto"/>
      </w:divBdr>
      <w:divsChild>
        <w:div w:id="1126460989">
          <w:marLeft w:val="0"/>
          <w:marRight w:val="0"/>
          <w:marTop w:val="0"/>
          <w:marBottom w:val="0"/>
          <w:divBdr>
            <w:top w:val="none" w:sz="0" w:space="0" w:color="auto"/>
            <w:left w:val="none" w:sz="0" w:space="0" w:color="auto"/>
            <w:bottom w:val="none" w:sz="0" w:space="0" w:color="auto"/>
            <w:right w:val="none" w:sz="0" w:space="0" w:color="auto"/>
          </w:divBdr>
          <w:divsChild>
            <w:div w:id="5612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756537">
      <w:bodyDiv w:val="1"/>
      <w:marLeft w:val="0"/>
      <w:marRight w:val="0"/>
      <w:marTop w:val="0"/>
      <w:marBottom w:val="0"/>
      <w:divBdr>
        <w:top w:val="none" w:sz="0" w:space="0" w:color="auto"/>
        <w:left w:val="none" w:sz="0" w:space="0" w:color="auto"/>
        <w:bottom w:val="none" w:sz="0" w:space="0" w:color="auto"/>
        <w:right w:val="none" w:sz="0" w:space="0" w:color="auto"/>
      </w:divBdr>
      <w:divsChild>
        <w:div w:id="389117462">
          <w:marLeft w:val="0"/>
          <w:marRight w:val="0"/>
          <w:marTop w:val="0"/>
          <w:marBottom w:val="0"/>
          <w:divBdr>
            <w:top w:val="none" w:sz="0" w:space="0" w:color="auto"/>
            <w:left w:val="none" w:sz="0" w:space="0" w:color="auto"/>
            <w:bottom w:val="none" w:sz="0" w:space="0" w:color="auto"/>
            <w:right w:val="none" w:sz="0" w:space="0" w:color="auto"/>
          </w:divBdr>
          <w:divsChild>
            <w:div w:id="94044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246411">
      <w:bodyDiv w:val="1"/>
      <w:marLeft w:val="0"/>
      <w:marRight w:val="0"/>
      <w:marTop w:val="0"/>
      <w:marBottom w:val="0"/>
      <w:divBdr>
        <w:top w:val="none" w:sz="0" w:space="0" w:color="auto"/>
        <w:left w:val="none" w:sz="0" w:space="0" w:color="auto"/>
        <w:bottom w:val="none" w:sz="0" w:space="0" w:color="auto"/>
        <w:right w:val="none" w:sz="0" w:space="0" w:color="auto"/>
      </w:divBdr>
      <w:divsChild>
        <w:div w:id="2011177154">
          <w:marLeft w:val="0"/>
          <w:marRight w:val="0"/>
          <w:marTop w:val="0"/>
          <w:marBottom w:val="0"/>
          <w:divBdr>
            <w:top w:val="none" w:sz="0" w:space="0" w:color="auto"/>
            <w:left w:val="none" w:sz="0" w:space="0" w:color="auto"/>
            <w:bottom w:val="none" w:sz="0" w:space="0" w:color="auto"/>
            <w:right w:val="none" w:sz="0" w:space="0" w:color="auto"/>
          </w:divBdr>
          <w:divsChild>
            <w:div w:id="16374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46414">
      <w:bodyDiv w:val="1"/>
      <w:marLeft w:val="0"/>
      <w:marRight w:val="0"/>
      <w:marTop w:val="0"/>
      <w:marBottom w:val="0"/>
      <w:divBdr>
        <w:top w:val="none" w:sz="0" w:space="0" w:color="auto"/>
        <w:left w:val="none" w:sz="0" w:space="0" w:color="auto"/>
        <w:bottom w:val="none" w:sz="0" w:space="0" w:color="auto"/>
        <w:right w:val="none" w:sz="0" w:space="0" w:color="auto"/>
      </w:divBdr>
      <w:divsChild>
        <w:div w:id="646397191">
          <w:marLeft w:val="0"/>
          <w:marRight w:val="0"/>
          <w:marTop w:val="0"/>
          <w:marBottom w:val="0"/>
          <w:divBdr>
            <w:top w:val="none" w:sz="0" w:space="0" w:color="auto"/>
            <w:left w:val="none" w:sz="0" w:space="0" w:color="auto"/>
            <w:bottom w:val="none" w:sz="0" w:space="0" w:color="auto"/>
            <w:right w:val="none" w:sz="0" w:space="0" w:color="auto"/>
          </w:divBdr>
          <w:divsChild>
            <w:div w:id="202227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97337">
      <w:bodyDiv w:val="1"/>
      <w:marLeft w:val="0"/>
      <w:marRight w:val="0"/>
      <w:marTop w:val="0"/>
      <w:marBottom w:val="0"/>
      <w:divBdr>
        <w:top w:val="none" w:sz="0" w:space="0" w:color="auto"/>
        <w:left w:val="none" w:sz="0" w:space="0" w:color="auto"/>
        <w:bottom w:val="none" w:sz="0" w:space="0" w:color="auto"/>
        <w:right w:val="none" w:sz="0" w:space="0" w:color="auto"/>
      </w:divBdr>
      <w:divsChild>
        <w:div w:id="1835874553">
          <w:marLeft w:val="0"/>
          <w:marRight w:val="0"/>
          <w:marTop w:val="0"/>
          <w:marBottom w:val="0"/>
          <w:divBdr>
            <w:top w:val="none" w:sz="0" w:space="0" w:color="auto"/>
            <w:left w:val="none" w:sz="0" w:space="0" w:color="auto"/>
            <w:bottom w:val="none" w:sz="0" w:space="0" w:color="auto"/>
            <w:right w:val="none" w:sz="0" w:space="0" w:color="auto"/>
          </w:divBdr>
          <w:divsChild>
            <w:div w:id="122120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92728">
      <w:bodyDiv w:val="1"/>
      <w:marLeft w:val="0"/>
      <w:marRight w:val="0"/>
      <w:marTop w:val="0"/>
      <w:marBottom w:val="0"/>
      <w:divBdr>
        <w:top w:val="none" w:sz="0" w:space="0" w:color="auto"/>
        <w:left w:val="none" w:sz="0" w:space="0" w:color="auto"/>
        <w:bottom w:val="none" w:sz="0" w:space="0" w:color="auto"/>
        <w:right w:val="none" w:sz="0" w:space="0" w:color="auto"/>
      </w:divBdr>
      <w:divsChild>
        <w:div w:id="1762220494">
          <w:marLeft w:val="0"/>
          <w:marRight w:val="0"/>
          <w:marTop w:val="0"/>
          <w:marBottom w:val="0"/>
          <w:divBdr>
            <w:top w:val="none" w:sz="0" w:space="0" w:color="auto"/>
            <w:left w:val="none" w:sz="0" w:space="0" w:color="auto"/>
            <w:bottom w:val="none" w:sz="0" w:space="0" w:color="auto"/>
            <w:right w:val="none" w:sz="0" w:space="0" w:color="auto"/>
          </w:divBdr>
          <w:divsChild>
            <w:div w:id="127139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311456">
      <w:bodyDiv w:val="1"/>
      <w:marLeft w:val="0"/>
      <w:marRight w:val="0"/>
      <w:marTop w:val="0"/>
      <w:marBottom w:val="0"/>
      <w:divBdr>
        <w:top w:val="none" w:sz="0" w:space="0" w:color="auto"/>
        <w:left w:val="none" w:sz="0" w:space="0" w:color="auto"/>
        <w:bottom w:val="none" w:sz="0" w:space="0" w:color="auto"/>
        <w:right w:val="none" w:sz="0" w:space="0" w:color="auto"/>
      </w:divBdr>
      <w:divsChild>
        <w:div w:id="1403530695">
          <w:marLeft w:val="0"/>
          <w:marRight w:val="0"/>
          <w:marTop w:val="0"/>
          <w:marBottom w:val="0"/>
          <w:divBdr>
            <w:top w:val="none" w:sz="0" w:space="0" w:color="auto"/>
            <w:left w:val="none" w:sz="0" w:space="0" w:color="auto"/>
            <w:bottom w:val="none" w:sz="0" w:space="0" w:color="auto"/>
            <w:right w:val="none" w:sz="0" w:space="0" w:color="auto"/>
          </w:divBdr>
          <w:divsChild>
            <w:div w:id="130812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451645">
      <w:bodyDiv w:val="1"/>
      <w:marLeft w:val="0"/>
      <w:marRight w:val="0"/>
      <w:marTop w:val="0"/>
      <w:marBottom w:val="0"/>
      <w:divBdr>
        <w:top w:val="none" w:sz="0" w:space="0" w:color="auto"/>
        <w:left w:val="none" w:sz="0" w:space="0" w:color="auto"/>
        <w:bottom w:val="none" w:sz="0" w:space="0" w:color="auto"/>
        <w:right w:val="none" w:sz="0" w:space="0" w:color="auto"/>
      </w:divBdr>
      <w:divsChild>
        <w:div w:id="1450052637">
          <w:marLeft w:val="0"/>
          <w:marRight w:val="0"/>
          <w:marTop w:val="0"/>
          <w:marBottom w:val="0"/>
          <w:divBdr>
            <w:top w:val="none" w:sz="0" w:space="0" w:color="auto"/>
            <w:left w:val="none" w:sz="0" w:space="0" w:color="auto"/>
            <w:bottom w:val="none" w:sz="0" w:space="0" w:color="auto"/>
            <w:right w:val="none" w:sz="0" w:space="0" w:color="auto"/>
          </w:divBdr>
          <w:divsChild>
            <w:div w:id="48119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05502">
      <w:bodyDiv w:val="1"/>
      <w:marLeft w:val="0"/>
      <w:marRight w:val="0"/>
      <w:marTop w:val="0"/>
      <w:marBottom w:val="0"/>
      <w:divBdr>
        <w:top w:val="none" w:sz="0" w:space="0" w:color="auto"/>
        <w:left w:val="none" w:sz="0" w:space="0" w:color="auto"/>
        <w:bottom w:val="none" w:sz="0" w:space="0" w:color="auto"/>
        <w:right w:val="none" w:sz="0" w:space="0" w:color="auto"/>
      </w:divBdr>
      <w:divsChild>
        <w:div w:id="479808523">
          <w:marLeft w:val="0"/>
          <w:marRight w:val="0"/>
          <w:marTop w:val="0"/>
          <w:marBottom w:val="0"/>
          <w:divBdr>
            <w:top w:val="none" w:sz="0" w:space="0" w:color="auto"/>
            <w:left w:val="none" w:sz="0" w:space="0" w:color="auto"/>
            <w:bottom w:val="none" w:sz="0" w:space="0" w:color="auto"/>
            <w:right w:val="none" w:sz="0" w:space="0" w:color="auto"/>
          </w:divBdr>
          <w:divsChild>
            <w:div w:id="171025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879465">
      <w:bodyDiv w:val="1"/>
      <w:marLeft w:val="0"/>
      <w:marRight w:val="0"/>
      <w:marTop w:val="0"/>
      <w:marBottom w:val="0"/>
      <w:divBdr>
        <w:top w:val="none" w:sz="0" w:space="0" w:color="auto"/>
        <w:left w:val="none" w:sz="0" w:space="0" w:color="auto"/>
        <w:bottom w:val="none" w:sz="0" w:space="0" w:color="auto"/>
        <w:right w:val="none" w:sz="0" w:space="0" w:color="auto"/>
      </w:divBdr>
      <w:divsChild>
        <w:div w:id="2122677913">
          <w:marLeft w:val="0"/>
          <w:marRight w:val="0"/>
          <w:marTop w:val="0"/>
          <w:marBottom w:val="0"/>
          <w:divBdr>
            <w:top w:val="none" w:sz="0" w:space="0" w:color="auto"/>
            <w:left w:val="none" w:sz="0" w:space="0" w:color="auto"/>
            <w:bottom w:val="none" w:sz="0" w:space="0" w:color="auto"/>
            <w:right w:val="none" w:sz="0" w:space="0" w:color="auto"/>
          </w:divBdr>
          <w:divsChild>
            <w:div w:id="1311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98327">
      <w:bodyDiv w:val="1"/>
      <w:marLeft w:val="0"/>
      <w:marRight w:val="0"/>
      <w:marTop w:val="0"/>
      <w:marBottom w:val="0"/>
      <w:divBdr>
        <w:top w:val="none" w:sz="0" w:space="0" w:color="auto"/>
        <w:left w:val="none" w:sz="0" w:space="0" w:color="auto"/>
        <w:bottom w:val="none" w:sz="0" w:space="0" w:color="auto"/>
        <w:right w:val="none" w:sz="0" w:space="0" w:color="auto"/>
      </w:divBdr>
      <w:divsChild>
        <w:div w:id="861161867">
          <w:marLeft w:val="0"/>
          <w:marRight w:val="0"/>
          <w:marTop w:val="0"/>
          <w:marBottom w:val="0"/>
          <w:divBdr>
            <w:top w:val="none" w:sz="0" w:space="0" w:color="auto"/>
            <w:left w:val="none" w:sz="0" w:space="0" w:color="auto"/>
            <w:bottom w:val="none" w:sz="0" w:space="0" w:color="auto"/>
            <w:right w:val="none" w:sz="0" w:space="0" w:color="auto"/>
          </w:divBdr>
          <w:divsChild>
            <w:div w:id="192872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52194">
      <w:bodyDiv w:val="1"/>
      <w:marLeft w:val="0"/>
      <w:marRight w:val="0"/>
      <w:marTop w:val="0"/>
      <w:marBottom w:val="0"/>
      <w:divBdr>
        <w:top w:val="none" w:sz="0" w:space="0" w:color="auto"/>
        <w:left w:val="none" w:sz="0" w:space="0" w:color="auto"/>
        <w:bottom w:val="none" w:sz="0" w:space="0" w:color="auto"/>
        <w:right w:val="none" w:sz="0" w:space="0" w:color="auto"/>
      </w:divBdr>
      <w:divsChild>
        <w:div w:id="1579096392">
          <w:marLeft w:val="0"/>
          <w:marRight w:val="0"/>
          <w:marTop w:val="0"/>
          <w:marBottom w:val="0"/>
          <w:divBdr>
            <w:top w:val="none" w:sz="0" w:space="0" w:color="auto"/>
            <w:left w:val="none" w:sz="0" w:space="0" w:color="auto"/>
            <w:bottom w:val="none" w:sz="0" w:space="0" w:color="auto"/>
            <w:right w:val="none" w:sz="0" w:space="0" w:color="auto"/>
          </w:divBdr>
          <w:divsChild>
            <w:div w:id="59594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811560">
      <w:bodyDiv w:val="1"/>
      <w:marLeft w:val="0"/>
      <w:marRight w:val="0"/>
      <w:marTop w:val="0"/>
      <w:marBottom w:val="0"/>
      <w:divBdr>
        <w:top w:val="none" w:sz="0" w:space="0" w:color="auto"/>
        <w:left w:val="none" w:sz="0" w:space="0" w:color="auto"/>
        <w:bottom w:val="none" w:sz="0" w:space="0" w:color="auto"/>
        <w:right w:val="none" w:sz="0" w:space="0" w:color="auto"/>
      </w:divBdr>
      <w:divsChild>
        <w:div w:id="504975469">
          <w:marLeft w:val="0"/>
          <w:marRight w:val="0"/>
          <w:marTop w:val="0"/>
          <w:marBottom w:val="0"/>
          <w:divBdr>
            <w:top w:val="none" w:sz="0" w:space="0" w:color="auto"/>
            <w:left w:val="none" w:sz="0" w:space="0" w:color="auto"/>
            <w:bottom w:val="none" w:sz="0" w:space="0" w:color="auto"/>
            <w:right w:val="none" w:sz="0" w:space="0" w:color="auto"/>
          </w:divBdr>
          <w:divsChild>
            <w:div w:id="12172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02/pra2.842" TargetMode="External"/><Relationship Id="rId13" Type="http://schemas.openxmlformats.org/officeDocument/2006/relationships/hyperlink" Target="https://wonkhe.cmail19.com/t/d-l-vkljltt-jljiudsjt-j/" TargetMode="External"/><Relationship Id="rId3" Type="http://schemas.openxmlformats.org/officeDocument/2006/relationships/customXml" Target="../customXml/item3.xml"/><Relationship Id="rId7" Type="http://schemas.openxmlformats.org/officeDocument/2006/relationships/hyperlink" Target="https://doi.org/10.1080/13596748.2023.2253656" TargetMode="External"/><Relationship Id="rId12" Type="http://schemas.openxmlformats.org/officeDocument/2006/relationships/hyperlink" Target="https://doi.org/10.1080/0309877X.2023.224138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1080/00071005.2023.2215857"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doi.org/10.3390/soc13050131" TargetMode="External"/><Relationship Id="rId4" Type="http://schemas.openxmlformats.org/officeDocument/2006/relationships/styles" Target="styles.xml"/><Relationship Id="rId9" Type="http://schemas.openxmlformats.org/officeDocument/2006/relationships/hyperlink" Target="https://doi.org/10.1007/s10734-022-00969-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e1cff4d-8728-4fb0-bb3f-4778d5027b9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BFFBAEE68EC64439C70D1D92B0E046C" ma:contentTypeVersion="15" ma:contentTypeDescription="Create a new document." ma:contentTypeScope="" ma:versionID="82300d7250cda95fe0eecc4702d7484d">
  <xsd:schema xmlns:xsd="http://www.w3.org/2001/XMLSchema" xmlns:xs="http://www.w3.org/2001/XMLSchema" xmlns:p="http://schemas.microsoft.com/office/2006/metadata/properties" xmlns:ns3="d8230f9b-9a92-4a46-b982-7d4f6988bd21" xmlns:ns4="5e1cff4d-8728-4fb0-bb3f-4778d5027b9c" targetNamespace="http://schemas.microsoft.com/office/2006/metadata/properties" ma:root="true" ma:fieldsID="acda35075220290c2cc44f48e1c3a45e" ns3:_="" ns4:_="">
    <xsd:import namespace="d8230f9b-9a92-4a46-b982-7d4f6988bd21"/>
    <xsd:import namespace="5e1cff4d-8728-4fb0-bb3f-4778d5027b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30f9b-9a92-4a46-b982-7d4f6988bd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1cff4d-8728-4fb0-bb3f-4778d5027b9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4A4AA2-2FC0-4635-9C03-F96614015ABF}">
  <ds:schemaRefs>
    <ds:schemaRef ds:uri="http://schemas.microsoft.com/office/2006/metadata/properties"/>
    <ds:schemaRef ds:uri="http://schemas.microsoft.com/office/infopath/2007/PartnerControls"/>
    <ds:schemaRef ds:uri="5e1cff4d-8728-4fb0-bb3f-4778d5027b9c"/>
  </ds:schemaRefs>
</ds:datastoreItem>
</file>

<file path=customXml/itemProps2.xml><?xml version="1.0" encoding="utf-8"?>
<ds:datastoreItem xmlns:ds="http://schemas.openxmlformats.org/officeDocument/2006/customXml" ds:itemID="{2A3E8C31-869C-4548-A571-44F6F08CF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30f9b-9a92-4a46-b982-7d4f6988bd21"/>
    <ds:schemaRef ds:uri="5e1cff4d-8728-4fb0-bb3f-4778d5027b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F960CA-FC0A-4D9E-85B1-A902F1E451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2001</Words>
  <Characters>11409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2</cp:revision>
  <dcterms:created xsi:type="dcterms:W3CDTF">2023-12-03T20:44:00Z</dcterms:created>
  <dcterms:modified xsi:type="dcterms:W3CDTF">2023-12-03T20:44:00Z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e8952ddd-9739-4dcd-94f6-d4ebac84ed00</vt:lpwstr>
  </property>
  <property fmtid="{D5CDD505-2E9C-101B-9397-08002B2CF9AE}" pid="3" name="ContentTypeId">
    <vt:lpwstr>0x010100BBFFBAEE68EC64439C70D1D92B0E046C</vt:lpwstr>
  </property>
</Properties>
</file>